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0" w:firstLineChars="200"/>
        <w:jc w:val="both"/>
        <w:textAlignment w:val="auto"/>
        <w:rPr>
          <w:rFonts w:ascii="Times New Roman"/>
          <w:color w:val="auto"/>
          <w:sz w:val="12"/>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1325" w:firstLineChars="300"/>
        <w:jc w:val="both"/>
        <w:textAlignment w:val="auto"/>
        <w:rPr>
          <w:rFonts w:ascii="宋体"/>
          <w:b/>
          <w:color w:val="auto"/>
          <w:sz w:val="37"/>
        </w:rPr>
      </w:pPr>
      <w:r>
        <w:rPr>
          <w:rFonts w:hint="eastAsia" w:ascii="宋体" w:eastAsia="宋体"/>
          <w:b/>
          <w:color w:val="auto"/>
          <w:sz w:val="44"/>
        </w:rPr>
        <w:t>管理人执行职务的工作报告</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060" w:firstLineChars="1800"/>
        <w:jc w:val="both"/>
        <w:textAlignment w:val="auto"/>
        <w:rPr>
          <w:b/>
          <w:bCs/>
          <w:color w:val="auto"/>
          <w:sz w:val="28"/>
        </w:rPr>
      </w:pPr>
      <w:r>
        <w:rPr>
          <w:b/>
          <w:bCs/>
          <w:color w:val="auto"/>
          <w:sz w:val="28"/>
        </w:rPr>
        <w:t>（202</w:t>
      </w:r>
      <w:r>
        <w:rPr>
          <w:rFonts w:hint="eastAsia"/>
          <w:b/>
          <w:bCs/>
          <w:color w:val="auto"/>
          <w:sz w:val="28"/>
          <w:lang w:val="en-US" w:eastAsia="zh-CN"/>
        </w:rPr>
        <w:t>1</w:t>
      </w:r>
      <w:r>
        <w:rPr>
          <w:b/>
          <w:bCs/>
          <w:color w:val="auto"/>
          <w:sz w:val="28"/>
        </w:rPr>
        <w:t>）</w:t>
      </w:r>
      <w:r>
        <w:rPr>
          <w:rFonts w:hint="eastAsia"/>
          <w:b/>
          <w:bCs/>
          <w:color w:val="auto"/>
          <w:sz w:val="28"/>
          <w:lang w:val="en-US" w:eastAsia="zh-CN"/>
        </w:rPr>
        <w:t>华立</w:t>
      </w:r>
      <w:r>
        <w:rPr>
          <w:b/>
          <w:bCs/>
          <w:color w:val="auto"/>
          <w:sz w:val="28"/>
        </w:rPr>
        <w:t>破管字第</w:t>
      </w:r>
      <w:r>
        <w:rPr>
          <w:rFonts w:hint="eastAsia"/>
          <w:b/>
          <w:bCs/>
          <w:color w:val="auto"/>
          <w:sz w:val="28"/>
          <w:lang w:val="en-US" w:eastAsia="zh-CN"/>
        </w:rPr>
        <w:t>9</w:t>
      </w:r>
      <w:r>
        <w:rPr>
          <w:b/>
          <w:bCs/>
          <w:color w:val="auto"/>
          <w:sz w:val="28"/>
        </w:rPr>
        <w:t>号</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2" w:firstLineChars="200"/>
        <w:jc w:val="both"/>
        <w:textAlignment w:val="auto"/>
        <w:rPr>
          <w:b/>
          <w:bCs/>
          <w:color w:val="auto"/>
          <w:sz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color w:val="auto"/>
        </w:rPr>
      </w:pPr>
      <w:r>
        <w:rPr>
          <w:color w:val="auto"/>
        </w:rPr>
        <w:t>威海</w:t>
      </w:r>
      <w:r>
        <w:rPr>
          <w:rFonts w:hint="eastAsia"/>
          <w:color w:val="auto"/>
          <w:lang w:val="en-US" w:eastAsia="zh-CN"/>
        </w:rPr>
        <w:t>华立</w:t>
      </w:r>
      <w:r>
        <w:rPr>
          <w:color w:val="auto"/>
        </w:rPr>
        <w:t>房地产开发有限公司债权人会议：</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spacing w:val="-4"/>
        </w:rPr>
      </w:pPr>
      <w:r>
        <w:rPr>
          <w:color w:val="auto"/>
          <w:spacing w:val="-1"/>
        </w:rPr>
        <w:t>威海</w:t>
      </w:r>
      <w:r>
        <w:rPr>
          <w:rFonts w:hint="eastAsia"/>
          <w:color w:val="auto"/>
          <w:spacing w:val="-1"/>
          <w:lang w:val="en-US" w:eastAsia="zh-CN"/>
        </w:rPr>
        <w:t>华立</w:t>
      </w:r>
      <w:r>
        <w:rPr>
          <w:color w:val="auto"/>
          <w:spacing w:val="-1"/>
        </w:rPr>
        <w:t>房地产开发有限公司</w:t>
      </w:r>
      <w:r>
        <w:rPr>
          <w:color w:val="auto"/>
        </w:rPr>
        <w:t>（</w:t>
      </w:r>
      <w:r>
        <w:rPr>
          <w:color w:val="auto"/>
          <w:spacing w:val="-2"/>
        </w:rPr>
        <w:t>以下简称“</w:t>
      </w:r>
      <w:r>
        <w:rPr>
          <w:rFonts w:hint="eastAsia"/>
          <w:color w:val="auto"/>
          <w:spacing w:val="-2"/>
          <w:lang w:val="en-US" w:eastAsia="zh-CN"/>
        </w:rPr>
        <w:t>华立</w:t>
      </w:r>
      <w:r>
        <w:rPr>
          <w:color w:val="auto"/>
          <w:spacing w:val="-2"/>
        </w:rPr>
        <w:t>房地产</w:t>
      </w:r>
      <w:r>
        <w:rPr>
          <w:color w:val="auto"/>
          <w:spacing w:val="-48"/>
        </w:rPr>
        <w:t>公司”</w:t>
      </w:r>
      <w:r>
        <w:rPr>
          <w:color w:val="auto"/>
          <w:spacing w:val="-138"/>
        </w:rPr>
        <w:t>）</w:t>
      </w:r>
      <w:r>
        <w:rPr>
          <w:color w:val="auto"/>
          <w:spacing w:val="-16"/>
        </w:rPr>
        <w:t>因不能清偿到期债务，</w:t>
      </w:r>
      <w:r>
        <w:rPr>
          <w:rFonts w:hint="eastAsia"/>
          <w:color w:val="auto"/>
          <w:spacing w:val="-16"/>
          <w:lang w:val="en-US" w:eastAsia="zh-CN"/>
        </w:rPr>
        <w:t>威海市环翠区</w:t>
      </w:r>
      <w:r>
        <w:rPr>
          <w:color w:val="auto"/>
          <w:spacing w:val="-16"/>
        </w:rPr>
        <w:t xml:space="preserve">人民法院于 </w:t>
      </w:r>
      <w:r>
        <w:rPr>
          <w:color w:val="auto"/>
        </w:rPr>
        <w:t>202</w:t>
      </w:r>
      <w:r>
        <w:rPr>
          <w:rFonts w:hint="eastAsia"/>
          <w:color w:val="auto"/>
          <w:lang w:val="en-US" w:eastAsia="zh-CN"/>
        </w:rPr>
        <w:t>1</w:t>
      </w:r>
      <w:r>
        <w:rPr>
          <w:color w:val="auto"/>
          <w:spacing w:val="-40"/>
        </w:rPr>
        <w:t xml:space="preserve">年 </w:t>
      </w:r>
      <w:r>
        <w:rPr>
          <w:rFonts w:hint="eastAsia"/>
          <w:color w:val="auto"/>
          <w:lang w:val="en-US" w:eastAsia="zh-CN"/>
        </w:rPr>
        <w:t>2</w:t>
      </w:r>
      <w:r>
        <w:rPr>
          <w:color w:val="auto"/>
          <w:spacing w:val="-53"/>
        </w:rPr>
        <w:t>月</w:t>
      </w:r>
      <w:r>
        <w:rPr>
          <w:rFonts w:hint="eastAsia"/>
          <w:color w:val="auto"/>
          <w:spacing w:val="-53"/>
          <w:lang w:val="en-US" w:eastAsia="zh-CN"/>
        </w:rPr>
        <w:t xml:space="preserve"> 3 </w:t>
      </w:r>
      <w:r>
        <w:rPr>
          <w:color w:val="auto"/>
          <w:spacing w:val="-3"/>
        </w:rPr>
        <w:t>日裁定受理</w:t>
      </w:r>
      <w:r>
        <w:rPr>
          <w:rFonts w:hint="eastAsia"/>
          <w:color w:val="auto"/>
          <w:spacing w:val="-3"/>
          <w:lang w:val="en-US" w:eastAsia="zh-CN"/>
        </w:rPr>
        <w:t>鲁海涛</w:t>
      </w:r>
      <w:r>
        <w:rPr>
          <w:color w:val="auto"/>
          <w:spacing w:val="-3"/>
        </w:rPr>
        <w:t>对</w:t>
      </w:r>
      <w:r>
        <w:rPr>
          <w:rFonts w:hint="eastAsia"/>
          <w:color w:val="auto"/>
          <w:spacing w:val="-2"/>
          <w:lang w:val="en-US" w:eastAsia="zh-CN"/>
        </w:rPr>
        <w:t>华立</w:t>
      </w:r>
      <w:r>
        <w:rPr>
          <w:color w:val="auto"/>
          <w:spacing w:val="-4"/>
        </w:rPr>
        <w:t>房地产公司的破产重整申请，并指定山东利得清算事务有限公司担任管理人（以下简称“管理人”）。</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0" w:firstLineChars="200"/>
        <w:jc w:val="both"/>
        <w:textAlignment w:val="auto"/>
        <w:rPr>
          <w:color w:val="auto"/>
        </w:rPr>
      </w:pPr>
      <w:r>
        <w:rPr>
          <w:color w:val="auto"/>
          <w:spacing w:val="-2"/>
          <w:w w:val="95"/>
        </w:rPr>
        <w:t xml:space="preserve">本管理人接受指定后，依据《中华人民共和国企业破产 </w:t>
      </w:r>
      <w:r>
        <w:rPr>
          <w:color w:val="auto"/>
          <w:spacing w:val="-4"/>
        </w:rPr>
        <w:t>法》之规定，勤勉忠实地履行了管理人职责，现将有关执行职务的情况报告如下：</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3" w:firstLineChars="200"/>
        <w:jc w:val="both"/>
        <w:textAlignment w:val="auto"/>
        <w:rPr>
          <w:color w:val="auto"/>
        </w:rPr>
      </w:pPr>
      <w:r>
        <w:rPr>
          <w:color w:val="auto"/>
        </w:rPr>
        <w:t>一、</w:t>
      </w:r>
      <w:r>
        <w:rPr>
          <w:rFonts w:hint="eastAsia"/>
          <w:color w:val="auto"/>
          <w:lang w:eastAsia="zh-CN"/>
        </w:rPr>
        <w:t>华立</w:t>
      </w:r>
      <w:r>
        <w:rPr>
          <w:color w:val="auto"/>
        </w:rPr>
        <w:t>房地产公司的基本情况</w:t>
      </w:r>
    </w:p>
    <w:p>
      <w:pPr>
        <w:pStyle w:val="9"/>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360" w:lineRule="auto"/>
        <w:ind w:right="0" w:rightChars="0" w:firstLine="632" w:firstLineChars="200"/>
        <w:jc w:val="both"/>
        <w:textAlignment w:val="auto"/>
        <w:rPr>
          <w:color w:val="auto"/>
          <w:sz w:val="32"/>
          <w:szCs w:val="32"/>
        </w:rPr>
      </w:pPr>
      <w:r>
        <w:rPr>
          <w:rFonts w:hint="eastAsia"/>
          <w:color w:val="auto"/>
          <w:spacing w:val="-2"/>
          <w:sz w:val="32"/>
          <w:lang w:val="en-US" w:eastAsia="zh-CN"/>
        </w:rPr>
        <w:t>1.</w:t>
      </w:r>
      <w:r>
        <w:rPr>
          <w:rFonts w:hint="eastAsia"/>
          <w:color w:val="auto"/>
          <w:spacing w:val="-2"/>
          <w:sz w:val="32"/>
          <w:lang w:eastAsia="zh-CN"/>
        </w:rPr>
        <w:t>华立</w:t>
      </w:r>
      <w:r>
        <w:rPr>
          <w:color w:val="auto"/>
          <w:spacing w:val="-2"/>
          <w:sz w:val="32"/>
        </w:rPr>
        <w:t xml:space="preserve">房地产公司设立于 </w:t>
      </w:r>
      <w:r>
        <w:rPr>
          <w:color w:val="auto"/>
          <w:sz w:val="32"/>
        </w:rPr>
        <w:t>20</w:t>
      </w:r>
      <w:r>
        <w:rPr>
          <w:rFonts w:hint="eastAsia"/>
          <w:color w:val="auto"/>
          <w:sz w:val="32"/>
          <w:lang w:val="en-US" w:eastAsia="zh-CN"/>
        </w:rPr>
        <w:t>03</w:t>
      </w:r>
      <w:r>
        <w:rPr>
          <w:color w:val="auto"/>
          <w:spacing w:val="-50"/>
          <w:sz w:val="32"/>
        </w:rPr>
        <w:t xml:space="preserve"> 年 </w:t>
      </w:r>
      <w:r>
        <w:rPr>
          <w:color w:val="auto"/>
          <w:sz w:val="32"/>
        </w:rPr>
        <w:t>0</w:t>
      </w:r>
      <w:r>
        <w:rPr>
          <w:rFonts w:hint="eastAsia"/>
          <w:color w:val="auto"/>
          <w:sz w:val="32"/>
          <w:lang w:val="en-US" w:eastAsia="zh-CN"/>
        </w:rPr>
        <w:t>1</w:t>
      </w:r>
      <w:r>
        <w:rPr>
          <w:color w:val="auto"/>
          <w:spacing w:val="-52"/>
          <w:sz w:val="32"/>
        </w:rPr>
        <w:t xml:space="preserve">月 </w:t>
      </w:r>
      <w:r>
        <w:rPr>
          <w:color w:val="auto"/>
          <w:sz w:val="32"/>
        </w:rPr>
        <w:t>2</w:t>
      </w:r>
      <w:r>
        <w:rPr>
          <w:rFonts w:hint="eastAsia"/>
          <w:color w:val="auto"/>
          <w:sz w:val="32"/>
          <w:lang w:val="en-US" w:eastAsia="zh-CN"/>
        </w:rPr>
        <w:t>0</w:t>
      </w:r>
      <w:r>
        <w:rPr>
          <w:color w:val="auto"/>
          <w:spacing w:val="-9"/>
          <w:sz w:val="32"/>
        </w:rPr>
        <w:t>日，为有限</w:t>
      </w:r>
      <w:r>
        <w:rPr>
          <w:color w:val="auto"/>
          <w:spacing w:val="-7"/>
          <w:sz w:val="32"/>
          <w:szCs w:val="32"/>
        </w:rPr>
        <w:t>责任公司，住所地</w:t>
      </w:r>
      <w:r>
        <w:rPr>
          <w:rFonts w:hint="eastAsia" w:ascii="仿宋" w:hAnsi="仿宋" w:eastAsia="仿宋" w:cs="仿宋"/>
          <w:i w:val="0"/>
          <w:iCs w:val="0"/>
          <w:caps w:val="0"/>
          <w:color w:val="auto"/>
          <w:spacing w:val="0"/>
          <w:sz w:val="32"/>
          <w:szCs w:val="32"/>
          <w:shd w:val="clear" w:color="auto" w:fill="auto"/>
        </w:rPr>
        <w:t>威海市海滨北路-103-4号</w:t>
      </w:r>
      <w:r>
        <w:rPr>
          <w:color w:val="auto"/>
          <w:spacing w:val="-12"/>
          <w:sz w:val="32"/>
          <w:szCs w:val="32"/>
        </w:rPr>
        <w:t>，法定代表人</w:t>
      </w:r>
      <w:r>
        <w:rPr>
          <w:rFonts w:hint="eastAsia"/>
          <w:color w:val="auto"/>
          <w:spacing w:val="-12"/>
          <w:sz w:val="32"/>
          <w:szCs w:val="32"/>
          <w:lang w:val="en-US" w:eastAsia="zh-CN"/>
        </w:rPr>
        <w:t>邵长强</w:t>
      </w:r>
      <w:r>
        <w:rPr>
          <w:color w:val="auto"/>
          <w:spacing w:val="-12"/>
          <w:sz w:val="32"/>
          <w:szCs w:val="32"/>
        </w:rPr>
        <w:t>，统一社会信用代码:</w:t>
      </w:r>
      <w:r>
        <w:rPr>
          <w:rFonts w:hint="eastAsia" w:ascii="仿宋" w:hAnsi="仿宋" w:eastAsia="仿宋" w:cs="仿宋"/>
          <w:i w:val="0"/>
          <w:iCs w:val="0"/>
          <w:caps w:val="0"/>
          <w:color w:val="auto"/>
          <w:spacing w:val="0"/>
          <w:sz w:val="32"/>
          <w:szCs w:val="32"/>
          <w:shd w:val="clear" w:fill="FFFFFF"/>
        </w:rPr>
        <w:t>91371000746559310L</w:t>
      </w:r>
      <w:r>
        <w:rPr>
          <w:color w:val="auto"/>
          <w:spacing w:val="-12"/>
          <w:sz w:val="32"/>
          <w:szCs w:val="32"/>
        </w:rPr>
        <w:t>。</w:t>
      </w: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60" w:firstLineChars="300"/>
        <w:jc w:val="both"/>
        <w:textAlignment w:val="auto"/>
        <w:rPr>
          <w:color w:val="auto"/>
          <w:sz w:val="32"/>
        </w:rPr>
      </w:pPr>
      <w:r>
        <w:rPr>
          <w:color w:val="auto"/>
        </w:rPr>
        <w:pict>
          <v:shape id="_x0000_s1026" o:spid="_x0000_s1026" o:spt="202" type="#_x0000_t202" style="position:absolute;left:0pt;margin-left:91.45pt;margin-top:57.05pt;height:105.75pt;width:411.8pt;mso-position-horizontal-relative:page;z-index:251660288;mso-width-relative:page;mso-height-relative:page;" filled="f" stroked="f" coordsize="21600,21600">
            <v:path/>
            <v:fill on="f" focussize="0,0"/>
            <v:stroke on="f"/>
            <v:imagedata o:title=""/>
            <o:lock v:ext="edit"/>
            <v:textbox inset="0mm,0mm,0mm,0mm">
              <w:txbxContent>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1980"/>
                    <w:gridCol w:w="1560"/>
                    <w:gridCol w:w="1720"/>
                    <w:gridCol w:w="20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872" w:type="dxa"/>
                        <w:tcBorders>
                          <w:right w:val="single" w:color="000000" w:sz="6" w:space="0"/>
                        </w:tcBorders>
                      </w:tcPr>
                      <w:p>
                        <w:pPr>
                          <w:pStyle w:val="10"/>
                          <w:spacing w:before="9"/>
                          <w:jc w:val="left"/>
                          <w:rPr>
                            <w:sz w:val="30"/>
                          </w:rPr>
                        </w:pPr>
                      </w:p>
                      <w:p>
                        <w:pPr>
                          <w:pStyle w:val="10"/>
                          <w:ind w:left="174" w:right="153"/>
                          <w:rPr>
                            <w:b/>
                            <w:sz w:val="24"/>
                          </w:rPr>
                        </w:pPr>
                        <w:r>
                          <w:rPr>
                            <w:b/>
                            <w:sz w:val="24"/>
                          </w:rPr>
                          <w:t>序号</w:t>
                        </w:r>
                      </w:p>
                    </w:tc>
                    <w:tc>
                      <w:tcPr>
                        <w:tcW w:w="1980" w:type="dxa"/>
                        <w:tcBorders>
                          <w:left w:val="single" w:color="000000" w:sz="6" w:space="0"/>
                          <w:right w:val="single" w:color="000000" w:sz="6" w:space="0"/>
                        </w:tcBorders>
                      </w:tcPr>
                      <w:p>
                        <w:pPr>
                          <w:pStyle w:val="10"/>
                          <w:spacing w:before="9"/>
                          <w:jc w:val="left"/>
                          <w:rPr>
                            <w:sz w:val="30"/>
                          </w:rPr>
                        </w:pPr>
                      </w:p>
                      <w:p>
                        <w:pPr>
                          <w:pStyle w:val="10"/>
                          <w:ind w:left="516"/>
                          <w:jc w:val="left"/>
                          <w:rPr>
                            <w:b/>
                            <w:sz w:val="24"/>
                          </w:rPr>
                        </w:pPr>
                        <w:r>
                          <w:rPr>
                            <w:b/>
                            <w:sz w:val="24"/>
                          </w:rPr>
                          <w:t>股东名称</w:t>
                        </w:r>
                      </w:p>
                    </w:tc>
                    <w:tc>
                      <w:tcPr>
                        <w:tcW w:w="1560" w:type="dxa"/>
                        <w:tcBorders>
                          <w:left w:val="single" w:color="000000" w:sz="6" w:space="0"/>
                          <w:right w:val="single" w:color="000000" w:sz="6" w:space="0"/>
                        </w:tcBorders>
                        <w:vAlign w:val="top"/>
                      </w:tcPr>
                      <w:p>
                        <w:pPr>
                          <w:pStyle w:val="10"/>
                          <w:spacing w:before="158"/>
                          <w:ind w:left="115" w:right="83"/>
                          <w:rPr>
                            <w:b/>
                            <w:sz w:val="24"/>
                          </w:rPr>
                        </w:pPr>
                        <w:r>
                          <w:rPr>
                            <w:b/>
                            <w:sz w:val="24"/>
                          </w:rPr>
                          <w:t>认购股权</w:t>
                        </w:r>
                      </w:p>
                      <w:p>
                        <w:pPr>
                          <w:pStyle w:val="10"/>
                          <w:spacing w:before="161"/>
                          <w:ind w:left="115" w:right="-29"/>
                          <w:rPr>
                            <w:b/>
                            <w:sz w:val="24"/>
                          </w:rPr>
                        </w:pPr>
                        <w:r>
                          <w:rPr>
                            <w:b/>
                            <w:sz w:val="24"/>
                          </w:rPr>
                          <w:t>（万人民币）</w:t>
                        </w:r>
                      </w:p>
                    </w:tc>
                    <w:tc>
                      <w:tcPr>
                        <w:tcW w:w="1720" w:type="dxa"/>
                        <w:tcBorders>
                          <w:left w:val="single" w:color="000000" w:sz="6" w:space="0"/>
                          <w:right w:val="single" w:color="000000" w:sz="6" w:space="0"/>
                        </w:tcBorders>
                      </w:tcPr>
                      <w:p>
                        <w:pPr>
                          <w:pStyle w:val="10"/>
                          <w:spacing w:before="9"/>
                          <w:jc w:val="left"/>
                          <w:rPr>
                            <w:sz w:val="30"/>
                          </w:rPr>
                        </w:pPr>
                      </w:p>
                      <w:p>
                        <w:pPr>
                          <w:pStyle w:val="10"/>
                          <w:ind w:left="96" w:right="1"/>
                          <w:rPr>
                            <w:b/>
                            <w:sz w:val="24"/>
                          </w:rPr>
                        </w:pPr>
                        <w:r>
                          <w:rPr>
                            <w:b/>
                            <w:sz w:val="24"/>
                          </w:rPr>
                          <w:t>股权比例（%）</w:t>
                        </w:r>
                      </w:p>
                    </w:tc>
                    <w:tc>
                      <w:tcPr>
                        <w:tcW w:w="2060" w:type="dxa"/>
                        <w:tcBorders>
                          <w:left w:val="single" w:color="000000" w:sz="6" w:space="0"/>
                        </w:tcBorders>
                      </w:tcPr>
                      <w:p>
                        <w:pPr>
                          <w:pStyle w:val="10"/>
                          <w:spacing w:before="9"/>
                          <w:jc w:val="left"/>
                          <w:rPr>
                            <w:sz w:val="30"/>
                          </w:rPr>
                        </w:pPr>
                      </w:p>
                      <w:p>
                        <w:pPr>
                          <w:pStyle w:val="10"/>
                          <w:ind w:left="415" w:right="379"/>
                          <w:rPr>
                            <w:b/>
                            <w:sz w:val="24"/>
                          </w:rPr>
                        </w:pPr>
                        <w:r>
                          <w:rPr>
                            <w:b/>
                            <w:sz w:val="24"/>
                          </w:rPr>
                          <w:t>出资时间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 w:hRule="atLeast"/>
                    </w:trPr>
                    <w:tc>
                      <w:tcPr>
                        <w:tcW w:w="872" w:type="dxa"/>
                        <w:tcBorders>
                          <w:right w:val="single" w:color="000000" w:sz="6" w:space="0"/>
                        </w:tcBorders>
                        <w:vAlign w:val="center"/>
                      </w:tcPr>
                      <w:p>
                        <w:pPr>
                          <w:pStyle w:val="10"/>
                          <w:ind w:firstLine="480" w:firstLineChars="200"/>
                          <w:jc w:val="both"/>
                          <w:rPr>
                            <w:rFonts w:ascii="宋体"/>
                            <w:sz w:val="24"/>
                          </w:rPr>
                        </w:pPr>
                        <w:r>
                          <w:rPr>
                            <w:rFonts w:ascii="宋体"/>
                            <w:sz w:val="24"/>
                          </w:rPr>
                          <w:t>1</w:t>
                        </w:r>
                      </w:p>
                    </w:tc>
                    <w:tc>
                      <w:tcPr>
                        <w:tcW w:w="1980" w:type="dxa"/>
                        <w:tcBorders>
                          <w:left w:val="single" w:color="000000" w:sz="6" w:space="0"/>
                          <w:right w:val="single" w:color="000000" w:sz="6" w:space="0"/>
                        </w:tcBorders>
                        <w:vAlign w:val="center"/>
                      </w:tcPr>
                      <w:p>
                        <w:pPr>
                          <w:pStyle w:val="10"/>
                          <w:spacing w:before="160" w:line="242" w:lineRule="auto"/>
                          <w:ind w:right="121" w:firstLine="723" w:firstLineChars="300"/>
                          <w:jc w:val="left"/>
                          <w:rPr>
                            <w:rFonts w:hint="eastAsia" w:eastAsia="仿宋"/>
                            <w:b/>
                            <w:sz w:val="24"/>
                            <w:lang w:eastAsia="zh-CN"/>
                          </w:rPr>
                        </w:pPr>
                        <w:r>
                          <w:rPr>
                            <w:rFonts w:hint="eastAsia"/>
                            <w:b/>
                            <w:sz w:val="24"/>
                            <w:lang w:val="en-US" w:eastAsia="zh-CN"/>
                          </w:rPr>
                          <w:t>赵堂虎</w:t>
                        </w:r>
                      </w:p>
                    </w:tc>
                    <w:tc>
                      <w:tcPr>
                        <w:tcW w:w="1560" w:type="dxa"/>
                        <w:tcBorders>
                          <w:left w:val="single" w:color="000000" w:sz="6" w:space="0"/>
                          <w:right w:val="single" w:color="000000" w:sz="6" w:space="0"/>
                        </w:tcBorders>
                        <w:vAlign w:val="center"/>
                      </w:tcPr>
                      <w:p>
                        <w:pPr>
                          <w:pStyle w:val="10"/>
                          <w:ind w:right="85" w:firstLine="480" w:firstLineChars="200"/>
                          <w:jc w:val="both"/>
                          <w:rPr>
                            <w:sz w:val="24"/>
                          </w:rPr>
                        </w:pPr>
                        <w:r>
                          <w:rPr>
                            <w:sz w:val="24"/>
                          </w:rPr>
                          <w:t>3</w:t>
                        </w:r>
                        <w:r>
                          <w:rPr>
                            <w:rFonts w:hint="eastAsia"/>
                            <w:sz w:val="24"/>
                            <w:lang w:val="en-US" w:eastAsia="zh-CN"/>
                          </w:rPr>
                          <w:t>5</w:t>
                        </w:r>
                        <w:r>
                          <w:rPr>
                            <w:sz w:val="24"/>
                          </w:rPr>
                          <w:t>00</w:t>
                        </w:r>
                      </w:p>
                    </w:tc>
                    <w:tc>
                      <w:tcPr>
                        <w:tcW w:w="1720" w:type="dxa"/>
                        <w:tcBorders>
                          <w:left w:val="single" w:color="000000" w:sz="6" w:space="0"/>
                          <w:right w:val="single" w:color="000000" w:sz="6" w:space="0"/>
                        </w:tcBorders>
                        <w:vAlign w:val="center"/>
                      </w:tcPr>
                      <w:p>
                        <w:pPr>
                          <w:pStyle w:val="10"/>
                          <w:ind w:right="1" w:firstLine="480" w:firstLineChars="200"/>
                          <w:jc w:val="both"/>
                          <w:rPr>
                            <w:sz w:val="24"/>
                          </w:rPr>
                        </w:pPr>
                        <w:r>
                          <w:rPr>
                            <w:rFonts w:hint="eastAsia"/>
                            <w:sz w:val="24"/>
                            <w:lang w:val="en-US" w:eastAsia="zh-CN"/>
                          </w:rPr>
                          <w:t>7</w:t>
                        </w:r>
                        <w:r>
                          <w:rPr>
                            <w:sz w:val="24"/>
                          </w:rPr>
                          <w:t>0.00%</w:t>
                        </w:r>
                      </w:p>
                    </w:tc>
                    <w:tc>
                      <w:tcPr>
                        <w:tcW w:w="2060" w:type="dxa"/>
                        <w:tcBorders>
                          <w:left w:val="single" w:color="000000" w:sz="6" w:space="0"/>
                        </w:tcBorders>
                        <w:vAlign w:val="center"/>
                      </w:tcPr>
                      <w:p>
                        <w:pPr>
                          <w:pStyle w:val="10"/>
                          <w:ind w:right="382" w:firstLine="240" w:firstLineChars="100"/>
                          <w:jc w:val="both"/>
                          <w:rPr>
                            <w:rFonts w:hint="default" w:eastAsia="仿宋"/>
                            <w:sz w:val="24"/>
                            <w:lang w:val="en-US" w:eastAsia="zh-CN"/>
                          </w:rPr>
                        </w:pPr>
                        <w:r>
                          <w:rPr>
                            <w:sz w:val="24"/>
                          </w:rPr>
                          <w:t>201</w:t>
                        </w:r>
                        <w:r>
                          <w:rPr>
                            <w:rFonts w:hint="eastAsia"/>
                            <w:sz w:val="24"/>
                            <w:lang w:val="en-US" w:eastAsia="zh-CN"/>
                          </w:rPr>
                          <w:t>3</w:t>
                        </w:r>
                        <w:r>
                          <w:rPr>
                            <w:sz w:val="24"/>
                          </w:rPr>
                          <w:t>-0</w:t>
                        </w:r>
                        <w:r>
                          <w:rPr>
                            <w:rFonts w:hint="eastAsia"/>
                            <w:sz w:val="24"/>
                            <w:lang w:val="en-US" w:eastAsia="zh-CN"/>
                          </w:rPr>
                          <w:t>9</w:t>
                        </w:r>
                        <w:r>
                          <w:rPr>
                            <w:sz w:val="24"/>
                          </w:rPr>
                          <w:t>-</w:t>
                        </w:r>
                        <w:r>
                          <w:rPr>
                            <w:rFonts w:hint="eastAsia"/>
                            <w:sz w:val="24"/>
                            <w:lang w:val="en-US" w:eastAsia="zh-CN"/>
                          </w:rPr>
                          <w:t>02</w:t>
                        </w:r>
                      </w:p>
                    </w:tc>
                  </w:tr>
                </w:tbl>
                <w:p>
                  <w:pPr>
                    <w:pStyle w:val="3"/>
                    <w:spacing w:before="0"/>
                    <w:ind w:left="0"/>
                  </w:pPr>
                </w:p>
              </w:txbxContent>
            </v:textbox>
          </v:shape>
        </w:pict>
      </w:r>
      <w:r>
        <w:rPr>
          <w:rFonts w:hint="eastAsia"/>
          <w:color w:val="auto"/>
          <w:spacing w:val="-11"/>
          <w:sz w:val="32"/>
          <w:lang w:val="en-US" w:eastAsia="zh-CN"/>
        </w:rPr>
        <w:t>2.</w:t>
      </w:r>
      <w:r>
        <w:rPr>
          <w:color w:val="auto"/>
          <w:spacing w:val="-11"/>
          <w:sz w:val="32"/>
        </w:rPr>
        <w:t xml:space="preserve">企业注册资本 </w:t>
      </w:r>
      <w:r>
        <w:rPr>
          <w:rFonts w:hint="eastAsia"/>
          <w:color w:val="auto"/>
          <w:sz w:val="32"/>
          <w:lang w:val="en-US" w:eastAsia="zh-CN"/>
        </w:rPr>
        <w:t>5</w:t>
      </w:r>
      <w:r>
        <w:rPr>
          <w:color w:val="auto"/>
          <w:sz w:val="32"/>
        </w:rPr>
        <w:t>000</w:t>
      </w:r>
      <w:r>
        <w:rPr>
          <w:color w:val="auto"/>
          <w:spacing w:val="-11"/>
          <w:sz w:val="32"/>
        </w:rPr>
        <w:t xml:space="preserve"> 万人民币,其现有股权结构如下表所示：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40" w:firstLineChars="200"/>
        <w:jc w:val="both"/>
        <w:textAlignment w:val="auto"/>
        <w:rPr>
          <w:color w:val="auto"/>
          <w:sz w:val="32"/>
        </w:rPr>
        <w:sectPr>
          <w:footerReference r:id="rId5" w:type="default"/>
          <w:type w:val="continuous"/>
          <w:pgSz w:w="11910" w:h="16840"/>
          <w:pgMar w:top="1440" w:right="1800" w:bottom="1440" w:left="1800" w:header="720" w:footer="486" w:gutter="0"/>
          <w:pgNumType w:start="1"/>
          <w:cols w:space="720" w:num="1"/>
        </w:sectPr>
      </w:pP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1980"/>
        <w:gridCol w:w="1560"/>
        <w:gridCol w:w="1720"/>
        <w:gridCol w:w="20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jc w:val="center"/>
        </w:trPr>
        <w:tc>
          <w:tcPr>
            <w:tcW w:w="872" w:type="dxa"/>
            <w:tcBorders>
              <w:bottom w:val="single" w:color="000000" w:sz="6" w:space="0"/>
              <w:righ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ascii="宋体"/>
                <w:color w:val="auto"/>
                <w:sz w:val="24"/>
              </w:rPr>
            </w:pPr>
            <w:r>
              <w:rPr>
                <w:rFonts w:ascii="宋体"/>
                <w:color w:val="auto"/>
                <w:sz w:val="24"/>
              </w:rPr>
              <w:t>2</w:t>
            </w:r>
          </w:p>
        </w:tc>
        <w:tc>
          <w:tcPr>
            <w:tcW w:w="1980" w:type="dxa"/>
            <w:tcBorders>
              <w:left w:val="single" w:color="000000" w:sz="6" w:space="0"/>
              <w:bottom w:val="single" w:color="000000" w:sz="6" w:space="0"/>
              <w:righ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rFonts w:hint="eastAsia" w:eastAsia="仿宋"/>
                <w:b/>
                <w:color w:val="auto"/>
                <w:sz w:val="24"/>
                <w:lang w:eastAsia="zh-CN"/>
              </w:rPr>
            </w:pPr>
            <w:r>
              <w:rPr>
                <w:rFonts w:hint="eastAsia"/>
                <w:b/>
                <w:color w:val="auto"/>
                <w:sz w:val="24"/>
                <w:lang w:val="en-US" w:eastAsia="zh-CN"/>
              </w:rPr>
              <w:t>董礼芳</w:t>
            </w:r>
          </w:p>
        </w:tc>
        <w:tc>
          <w:tcPr>
            <w:tcW w:w="1560" w:type="dxa"/>
            <w:tcBorders>
              <w:left w:val="single" w:color="000000" w:sz="6" w:space="0"/>
              <w:bottom w:val="single" w:color="000000" w:sz="6" w:space="0"/>
              <w:righ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color w:val="auto"/>
                <w:sz w:val="24"/>
              </w:rPr>
            </w:pPr>
            <w:r>
              <w:rPr>
                <w:rFonts w:hint="eastAsia"/>
                <w:color w:val="auto"/>
                <w:sz w:val="24"/>
                <w:lang w:val="en-US" w:eastAsia="zh-CN"/>
              </w:rPr>
              <w:t>15</w:t>
            </w:r>
            <w:r>
              <w:rPr>
                <w:color w:val="auto"/>
                <w:sz w:val="24"/>
              </w:rPr>
              <w:t>00</w:t>
            </w:r>
          </w:p>
        </w:tc>
        <w:tc>
          <w:tcPr>
            <w:tcW w:w="1720" w:type="dxa"/>
            <w:tcBorders>
              <w:left w:val="single" w:color="000000" w:sz="6" w:space="0"/>
              <w:bottom w:val="single" w:color="000000" w:sz="6" w:space="0"/>
              <w:righ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color w:val="auto"/>
                <w:sz w:val="24"/>
              </w:rPr>
            </w:pPr>
            <w:r>
              <w:rPr>
                <w:rFonts w:hint="eastAsia"/>
                <w:color w:val="auto"/>
                <w:sz w:val="24"/>
                <w:lang w:val="en-US" w:eastAsia="zh-CN"/>
              </w:rPr>
              <w:t>3</w:t>
            </w:r>
            <w:r>
              <w:rPr>
                <w:color w:val="auto"/>
                <w:sz w:val="24"/>
              </w:rPr>
              <w:t>0.00%</w:t>
            </w:r>
          </w:p>
        </w:tc>
        <w:tc>
          <w:tcPr>
            <w:tcW w:w="2060" w:type="dxa"/>
            <w:tcBorders>
              <w:left w:val="single" w:color="000000" w:sz="6" w:space="0"/>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color w:val="auto"/>
                <w:sz w:val="24"/>
              </w:rPr>
            </w:pPr>
            <w:r>
              <w:rPr>
                <w:color w:val="auto"/>
                <w:sz w:val="24"/>
              </w:rPr>
              <w:t>201</w:t>
            </w:r>
            <w:r>
              <w:rPr>
                <w:rFonts w:hint="eastAsia"/>
                <w:color w:val="auto"/>
                <w:sz w:val="24"/>
                <w:lang w:val="en-US" w:eastAsia="zh-CN"/>
              </w:rPr>
              <w:t>3</w:t>
            </w:r>
            <w:r>
              <w:rPr>
                <w:color w:val="auto"/>
                <w:sz w:val="24"/>
              </w:rPr>
              <w:t>-0</w:t>
            </w:r>
            <w:r>
              <w:rPr>
                <w:rFonts w:hint="eastAsia"/>
                <w:color w:val="auto"/>
                <w:sz w:val="24"/>
                <w:lang w:val="en-US" w:eastAsia="zh-CN"/>
              </w:rPr>
              <w:t>9</w:t>
            </w:r>
            <w:r>
              <w:rPr>
                <w:color w:val="auto"/>
                <w:sz w:val="24"/>
              </w:rPr>
              <w:t>-</w:t>
            </w:r>
            <w:r>
              <w:rPr>
                <w:rFonts w:hint="eastAsia"/>
                <w:color w:val="auto"/>
                <w:sz w:val="24"/>
                <w:lang w:val="en-US" w:eastAsia="zh-CN"/>
              </w:rPr>
              <w:t>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7" w:hRule="atLeast"/>
          <w:jc w:val="center"/>
        </w:trPr>
        <w:tc>
          <w:tcPr>
            <w:tcW w:w="4412" w:type="dxa"/>
            <w:gridSpan w:val="3"/>
            <w:tcBorders>
              <w:top w:val="single" w:color="000000" w:sz="6" w:space="0"/>
              <w:righ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1687" w:firstLineChars="700"/>
              <w:jc w:val="both"/>
              <w:textAlignment w:val="auto"/>
              <w:rPr>
                <w:b/>
                <w:color w:val="auto"/>
                <w:sz w:val="24"/>
              </w:rPr>
            </w:pPr>
            <w:r>
              <w:rPr>
                <w:b/>
                <w:color w:val="auto"/>
                <w:sz w:val="24"/>
              </w:rPr>
              <w:t>合计</w:t>
            </w:r>
          </w:p>
        </w:tc>
        <w:tc>
          <w:tcPr>
            <w:tcW w:w="1720" w:type="dxa"/>
            <w:tcBorders>
              <w:top w:val="single" w:color="000000" w:sz="6" w:space="0"/>
              <w:left w:val="single" w:color="000000" w:sz="6" w:space="0"/>
              <w:righ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b/>
                <w:color w:val="auto"/>
                <w:sz w:val="24"/>
              </w:rPr>
            </w:pPr>
            <w:r>
              <w:rPr>
                <w:b/>
                <w:color w:val="auto"/>
                <w:sz w:val="24"/>
              </w:rPr>
              <w:t>100%</w:t>
            </w:r>
          </w:p>
        </w:tc>
        <w:tc>
          <w:tcPr>
            <w:tcW w:w="2060" w:type="dxa"/>
            <w:tcBorders>
              <w:top w:val="single" w:color="000000" w:sz="6" w:space="0"/>
              <w:left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0" w:firstLineChars="200"/>
              <w:jc w:val="both"/>
              <w:textAlignment w:val="auto"/>
              <w:rPr>
                <w:rFonts w:ascii="Times New Roman"/>
                <w:color w:val="auto"/>
                <w:sz w:val="30"/>
              </w:rPr>
            </w:pPr>
          </w:p>
        </w:tc>
      </w:tr>
    </w:tbl>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20" w:firstLineChars="200"/>
        <w:jc w:val="both"/>
        <w:textAlignment w:val="auto"/>
        <w:rPr>
          <w:color w:val="auto"/>
          <w:sz w:val="16"/>
        </w:rPr>
      </w:pP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28" w:firstLineChars="200"/>
        <w:jc w:val="both"/>
        <w:textAlignment w:val="auto"/>
        <w:rPr>
          <w:rFonts w:hint="eastAsia" w:ascii="仿宋" w:hAnsi="仿宋" w:eastAsia="仿宋" w:cs="仿宋"/>
          <w:color w:val="auto"/>
          <w:sz w:val="32"/>
          <w:szCs w:val="32"/>
        </w:rPr>
      </w:pPr>
      <w:r>
        <w:rPr>
          <w:rFonts w:hint="eastAsia"/>
          <w:color w:val="auto"/>
          <w:spacing w:val="-3"/>
          <w:sz w:val="32"/>
          <w:lang w:val="en-US" w:eastAsia="zh-CN"/>
        </w:rPr>
        <w:t>3.</w:t>
      </w:r>
      <w:r>
        <w:rPr>
          <w:color w:val="auto"/>
          <w:spacing w:val="-3"/>
          <w:sz w:val="32"/>
        </w:rPr>
        <w:t xml:space="preserve">企业生产经营范围： </w:t>
      </w:r>
      <w:r>
        <w:rPr>
          <w:rFonts w:hint="eastAsia" w:ascii="仿宋" w:hAnsi="仿宋" w:eastAsia="仿宋" w:cs="仿宋"/>
          <w:i w:val="0"/>
          <w:iCs w:val="0"/>
          <w:caps w:val="0"/>
          <w:color w:val="auto"/>
          <w:spacing w:val="0"/>
          <w:sz w:val="32"/>
          <w:szCs w:val="32"/>
          <w:shd w:val="clear" w:fill="FFFFFF"/>
        </w:rPr>
        <w:t>房地产开发经营（凭房地产开发企业资质证经营）；房屋租赁；建材、钢材的销售。（依法须经批准的项目，经相关部门批准后方可开展经营活动）</w:t>
      </w: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08" w:firstLineChars="200"/>
        <w:jc w:val="both"/>
        <w:textAlignment w:val="auto"/>
        <w:rPr>
          <w:color w:val="auto"/>
          <w:sz w:val="32"/>
        </w:rPr>
      </w:pPr>
      <w:r>
        <w:rPr>
          <w:rFonts w:hint="eastAsia"/>
          <w:color w:val="auto"/>
          <w:w w:val="95"/>
          <w:sz w:val="32"/>
          <w:lang w:val="en-US" w:eastAsia="zh-CN"/>
        </w:rPr>
        <w:t>4.</w:t>
      </w:r>
      <w:r>
        <w:rPr>
          <w:color w:val="auto"/>
          <w:w w:val="95"/>
          <w:sz w:val="32"/>
        </w:rPr>
        <w:t>企业员工状况：企业现无留守职工。</w:t>
      </w: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08" w:firstLineChars="200"/>
        <w:jc w:val="both"/>
        <w:textAlignment w:val="auto"/>
        <w:rPr>
          <w:color w:val="auto"/>
          <w:sz w:val="32"/>
        </w:rPr>
      </w:pPr>
      <w:r>
        <w:rPr>
          <w:rFonts w:hint="eastAsia"/>
          <w:color w:val="auto"/>
          <w:w w:val="95"/>
          <w:sz w:val="32"/>
          <w:lang w:val="en-US" w:eastAsia="zh-CN"/>
        </w:rPr>
        <w:t>5.</w:t>
      </w:r>
      <w:r>
        <w:rPr>
          <w:color w:val="auto"/>
          <w:w w:val="95"/>
          <w:sz w:val="32"/>
        </w:rPr>
        <w:t>企业资产状况：详见财产状况报告；</w:t>
      </w: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596" w:firstLineChars="200"/>
        <w:jc w:val="both"/>
        <w:textAlignment w:val="auto"/>
        <w:rPr>
          <w:color w:val="auto"/>
          <w:sz w:val="30"/>
        </w:rPr>
      </w:pPr>
      <w:r>
        <w:rPr>
          <w:rFonts w:hint="eastAsia"/>
          <w:color w:val="auto"/>
          <w:spacing w:val="-11"/>
          <w:sz w:val="32"/>
          <w:lang w:val="en-US" w:eastAsia="zh-CN"/>
        </w:rPr>
        <w:t>6.</w:t>
      </w:r>
      <w:r>
        <w:rPr>
          <w:color w:val="auto"/>
          <w:spacing w:val="-11"/>
          <w:sz w:val="32"/>
        </w:rPr>
        <w:t>企业目前处于状态：</w:t>
      </w:r>
      <w:r>
        <w:rPr>
          <w:rFonts w:hint="eastAsia"/>
          <w:color w:val="auto"/>
          <w:spacing w:val="-11"/>
          <w:sz w:val="32"/>
          <w:lang w:val="en-US" w:eastAsia="zh-CN"/>
        </w:rPr>
        <w:t>经调查，</w:t>
      </w:r>
      <w:r>
        <w:rPr>
          <w:color w:val="auto"/>
          <w:spacing w:val="-11"/>
          <w:sz w:val="30"/>
        </w:rPr>
        <w:t>债务人近年</w:t>
      </w:r>
      <w:r>
        <w:rPr>
          <w:rFonts w:hint="eastAsia"/>
          <w:color w:val="auto"/>
          <w:spacing w:val="-11"/>
          <w:sz w:val="30"/>
          <w:lang w:val="en-US" w:eastAsia="zh-CN"/>
        </w:rPr>
        <w:t>除出租房产外</w:t>
      </w:r>
      <w:r>
        <w:rPr>
          <w:color w:val="auto"/>
          <w:spacing w:val="-11"/>
          <w:sz w:val="30"/>
        </w:rPr>
        <w:t xml:space="preserve">， </w:t>
      </w:r>
      <w:r>
        <w:rPr>
          <w:color w:val="auto"/>
          <w:sz w:val="30"/>
        </w:rPr>
        <w:t>现已</w:t>
      </w:r>
      <w:r>
        <w:rPr>
          <w:rFonts w:hint="eastAsia"/>
          <w:color w:val="auto"/>
          <w:sz w:val="30"/>
          <w:lang w:val="en-US" w:eastAsia="zh-CN"/>
        </w:rPr>
        <w:t>无其他实质经营业务</w:t>
      </w:r>
      <w:r>
        <w:rPr>
          <w:color w:val="auto"/>
          <w:sz w:val="30"/>
        </w:rPr>
        <w:t>。</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leftChars="0" w:right="0" w:firstLine="611" w:firstLineChars="200"/>
        <w:jc w:val="both"/>
        <w:textAlignment w:val="auto"/>
        <w:rPr>
          <w:b/>
          <w:color w:val="auto"/>
          <w:w w:val="95"/>
          <w:sz w:val="32"/>
        </w:rPr>
      </w:pPr>
      <w:r>
        <w:rPr>
          <w:color w:val="auto"/>
          <w:w w:val="95"/>
        </w:rPr>
        <w:t>执行职务的具体情况</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321" w:firstLineChars="100"/>
        <w:jc w:val="both"/>
        <w:textAlignment w:val="auto"/>
        <w:rPr>
          <w:b/>
          <w:color w:val="auto"/>
          <w:w w:val="95"/>
          <w:sz w:val="32"/>
        </w:rPr>
      </w:pPr>
      <w:r>
        <w:rPr>
          <w:b/>
          <w:color w:val="auto"/>
          <w:sz w:val="32"/>
        </w:rPr>
        <w:t>（一）执行职务的准备</w:t>
      </w:r>
      <w:r>
        <w:rPr>
          <w:rFonts w:hint="eastAsia"/>
          <w:b/>
          <w:color w:val="auto"/>
          <w:sz w:val="32"/>
          <w:lang w:val="en-US" w:eastAsia="zh-CN"/>
        </w:rPr>
        <w:t>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603" w:firstLineChars="200"/>
        <w:jc w:val="both"/>
        <w:textAlignment w:val="auto"/>
        <w:rPr>
          <w:b/>
          <w:color w:val="auto"/>
          <w:spacing w:val="-2"/>
          <w:w w:val="95"/>
          <w:sz w:val="32"/>
        </w:rPr>
      </w:pPr>
      <w:r>
        <w:rPr>
          <w:rFonts w:hint="eastAsia"/>
          <w:b/>
          <w:color w:val="auto"/>
          <w:spacing w:val="-2"/>
          <w:w w:val="95"/>
          <w:sz w:val="32"/>
          <w:lang w:val="en-US" w:eastAsia="zh-CN"/>
        </w:rPr>
        <w:t>1.</w:t>
      </w:r>
      <w:r>
        <w:rPr>
          <w:b/>
          <w:color w:val="auto"/>
          <w:spacing w:val="-2"/>
          <w:w w:val="95"/>
          <w:sz w:val="32"/>
        </w:rPr>
        <w:t>管理人团队的组成情况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4" w:firstLineChars="200"/>
        <w:jc w:val="both"/>
        <w:textAlignment w:val="auto"/>
        <w:rPr>
          <w:color w:val="auto"/>
        </w:rPr>
      </w:pPr>
      <w:r>
        <w:rPr>
          <w:color w:val="auto"/>
          <w:spacing w:val="-1"/>
          <w:w w:val="95"/>
        </w:rPr>
        <w:t>根据</w:t>
      </w:r>
      <w:r>
        <w:rPr>
          <w:rFonts w:hint="eastAsia"/>
          <w:color w:val="auto"/>
          <w:spacing w:val="-1"/>
          <w:w w:val="95"/>
          <w:lang w:eastAsia="zh-CN"/>
        </w:rPr>
        <w:t>华立</w:t>
      </w:r>
      <w:r>
        <w:rPr>
          <w:color w:val="auto"/>
          <w:spacing w:val="-1"/>
          <w:w w:val="95"/>
        </w:rPr>
        <w:t>房地产公司的实际情况，管理人组建了由十多</w:t>
      </w:r>
      <w:r>
        <w:rPr>
          <w:color w:val="auto"/>
          <w:spacing w:val="-3"/>
        </w:rPr>
        <w:t>名具有丰富破产重整业务经验丰富的律师、会计师、组成的</w:t>
      </w:r>
      <w:r>
        <w:rPr>
          <w:color w:val="auto"/>
          <w:spacing w:val="-5"/>
          <w:w w:val="95"/>
        </w:rPr>
        <w:t>工作团队。根据工作需要与成员业务特长，进行了综合事务</w:t>
      </w:r>
      <w:r>
        <w:rPr>
          <w:color w:val="auto"/>
          <w:spacing w:val="-5"/>
        </w:rPr>
        <w:t>组、债权申报审查组、清产核资组等分工。</w:t>
      </w:r>
    </w:p>
    <w:p>
      <w:pPr>
        <w:pStyle w:val="2"/>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3" w:firstLineChars="200"/>
        <w:jc w:val="both"/>
        <w:textAlignment w:val="auto"/>
        <w:rPr>
          <w:color w:val="auto"/>
        </w:rPr>
      </w:pPr>
      <w:r>
        <w:rPr>
          <w:rFonts w:hint="eastAsia"/>
          <w:color w:val="auto"/>
          <w:lang w:val="en-US" w:eastAsia="zh-CN"/>
        </w:rPr>
        <w:t>2.</w:t>
      </w:r>
      <w:r>
        <w:rPr>
          <w:color w:val="auto"/>
        </w:rPr>
        <w:t>管理人内部规章制度的建立情况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28" w:firstLineChars="200"/>
        <w:jc w:val="both"/>
        <w:textAlignment w:val="auto"/>
        <w:rPr>
          <w:color w:val="auto"/>
          <w:spacing w:val="11"/>
        </w:rPr>
      </w:pPr>
      <w:r>
        <w:rPr>
          <w:color w:val="auto"/>
          <w:spacing w:val="-3"/>
        </w:rPr>
        <w:t>管理人制定了《管理人印章使用办法》、《管理人工作</w:t>
      </w:r>
      <w:r>
        <w:rPr>
          <w:color w:val="auto"/>
          <w:spacing w:val="-5"/>
        </w:rPr>
        <w:t>保密制度》、《管理人处理突发重大事件应急预案》等规章制度，以规范管理人履行职务行为，保证破产重整工作的有</w:t>
      </w:r>
      <w:r>
        <w:rPr>
          <w:color w:val="auto"/>
          <w:spacing w:val="-6"/>
        </w:rPr>
        <w:t>序进行。管理人团队建立了周例会及日报制度，定期召开工</w:t>
      </w:r>
      <w:r>
        <w:rPr>
          <w:color w:val="auto"/>
          <w:spacing w:val="-5"/>
        </w:rPr>
        <w:t>作会议，通报工作进展，总结经验查找问题，提出措施并</w:t>
      </w:r>
      <w:r>
        <w:rPr>
          <w:rFonts w:hint="eastAsia"/>
          <w:color w:val="auto"/>
          <w:spacing w:val="-5"/>
          <w:lang w:val="en-US" w:eastAsia="zh-CN"/>
        </w:rPr>
        <w:t>布</w:t>
      </w:r>
      <w:r>
        <w:rPr>
          <w:color w:val="auto"/>
          <w:spacing w:val="11"/>
          <w:w w:val="95"/>
        </w:rPr>
        <w:t>署下一步工作，并派员就有关具体问题随时向法院进行汇</w:t>
      </w:r>
      <w:r>
        <w:rPr>
          <w:color w:val="auto"/>
          <w:spacing w:val="11"/>
        </w:rPr>
        <w:t>报，接受法院对于管理人工作的监督与指导。</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21" w:firstLineChars="100"/>
        <w:jc w:val="both"/>
        <w:textAlignment w:val="auto"/>
        <w:rPr>
          <w:b/>
          <w:bCs/>
          <w:color w:val="auto"/>
        </w:rPr>
      </w:pPr>
      <w:r>
        <w:rPr>
          <w:rFonts w:hint="eastAsia"/>
          <w:b/>
          <w:bCs/>
          <w:color w:val="auto"/>
          <w:lang w:eastAsia="zh-CN"/>
        </w:rPr>
        <w:t>（</w:t>
      </w:r>
      <w:r>
        <w:rPr>
          <w:rFonts w:hint="eastAsia"/>
          <w:b/>
          <w:bCs/>
          <w:color w:val="auto"/>
          <w:lang w:val="en-US" w:eastAsia="zh-CN"/>
        </w:rPr>
        <w:t>二）</w:t>
      </w:r>
      <w:r>
        <w:rPr>
          <w:b/>
          <w:bCs/>
          <w:color w:val="auto"/>
        </w:rPr>
        <w:t>接管债务人财产的基本情况</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643" w:firstLineChars="200"/>
        <w:jc w:val="both"/>
        <w:textAlignment w:val="auto"/>
        <w:rPr>
          <w:color w:val="auto"/>
        </w:rPr>
      </w:pPr>
      <w:r>
        <w:rPr>
          <w:color w:val="auto"/>
        </w:rPr>
        <w:t>1.接管时间</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color w:val="auto"/>
        </w:rPr>
        <w:t>202</w:t>
      </w:r>
      <w:r>
        <w:rPr>
          <w:rFonts w:hint="eastAsia"/>
          <w:color w:val="auto"/>
          <w:lang w:val="en-US" w:eastAsia="zh-CN"/>
        </w:rPr>
        <w:t>1</w:t>
      </w:r>
      <w:r>
        <w:rPr>
          <w:color w:val="auto"/>
          <w:spacing w:val="-55"/>
        </w:rPr>
        <w:t>年</w:t>
      </w:r>
      <w:r>
        <w:rPr>
          <w:rFonts w:hint="eastAsia"/>
          <w:color w:val="auto"/>
          <w:spacing w:val="-55"/>
          <w:lang w:val="en-US" w:eastAsia="zh-CN"/>
        </w:rPr>
        <w:t xml:space="preserve"> 2 </w:t>
      </w:r>
      <w:r>
        <w:rPr>
          <w:color w:val="auto"/>
          <w:spacing w:val="-53"/>
        </w:rPr>
        <w:t xml:space="preserve">月 </w:t>
      </w:r>
      <w:r>
        <w:rPr>
          <w:color w:val="auto"/>
        </w:rPr>
        <w:t>6</w:t>
      </w:r>
      <w:r>
        <w:rPr>
          <w:color w:val="auto"/>
          <w:spacing w:val="-41"/>
        </w:rPr>
        <w:t>日</w:t>
      </w:r>
      <w:r>
        <w:rPr>
          <w:rFonts w:hint="eastAsia"/>
          <w:color w:val="auto"/>
          <w:lang w:eastAsia="zh-CN"/>
        </w:rPr>
        <w:t>—</w:t>
      </w:r>
      <w:r>
        <w:rPr>
          <w:color w:val="auto"/>
        </w:rPr>
        <w:t>202</w:t>
      </w:r>
      <w:r>
        <w:rPr>
          <w:rFonts w:hint="eastAsia"/>
          <w:color w:val="auto"/>
          <w:lang w:val="en-US" w:eastAsia="zh-CN"/>
        </w:rPr>
        <w:t>1</w:t>
      </w:r>
      <w:r>
        <w:rPr>
          <w:color w:val="auto"/>
          <w:spacing w:val="-53"/>
        </w:rPr>
        <w:t xml:space="preserve">年 </w:t>
      </w:r>
      <w:r>
        <w:rPr>
          <w:rFonts w:hint="eastAsia"/>
          <w:color w:val="auto"/>
          <w:lang w:val="en-US" w:eastAsia="zh-CN"/>
        </w:rPr>
        <w:t>2</w:t>
      </w:r>
      <w:r>
        <w:rPr>
          <w:color w:val="auto"/>
          <w:spacing w:val="-54"/>
        </w:rPr>
        <w:t>月</w:t>
      </w:r>
      <w:r>
        <w:rPr>
          <w:rFonts w:hint="eastAsia"/>
          <w:color w:val="auto"/>
          <w:spacing w:val="-54"/>
          <w:lang w:val="en-US" w:eastAsia="zh-CN"/>
        </w:rPr>
        <w:t xml:space="preserve"> </w:t>
      </w:r>
      <w:r>
        <w:rPr>
          <w:color w:val="auto"/>
        </w:rPr>
        <w:t>13</w:t>
      </w:r>
      <w:r>
        <w:rPr>
          <w:color w:val="auto"/>
          <w:spacing w:val="-40"/>
        </w:rPr>
        <w:t>日</w:t>
      </w:r>
    </w:p>
    <w:p>
      <w:pPr>
        <w:pStyle w:val="2"/>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3" w:firstLineChars="200"/>
        <w:jc w:val="both"/>
        <w:textAlignment w:val="auto"/>
        <w:rPr>
          <w:color w:val="auto"/>
        </w:rPr>
      </w:pPr>
      <w:r>
        <w:rPr>
          <w:rFonts w:hint="eastAsia"/>
          <w:color w:val="auto"/>
          <w:lang w:val="en-US" w:eastAsia="zh-CN"/>
        </w:rPr>
        <w:t>2.</w:t>
      </w:r>
      <w:r>
        <w:rPr>
          <w:color w:val="auto"/>
        </w:rPr>
        <w:t>财产接管状况：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color w:val="auto"/>
        </w:rPr>
        <w:t>管理人自</w:t>
      </w:r>
      <w:r>
        <w:rPr>
          <w:rFonts w:hint="eastAsia"/>
          <w:color w:val="auto"/>
          <w:lang w:eastAsia="zh-CN"/>
        </w:rPr>
        <w:t>华立</w:t>
      </w:r>
      <w:r>
        <w:rPr>
          <w:color w:val="auto"/>
        </w:rPr>
        <w:t>房地产公司处接收到公司公章、法人章、</w:t>
      </w:r>
      <w:r>
        <w:rPr>
          <w:color w:val="auto"/>
          <w:spacing w:val="-11"/>
        </w:rPr>
        <w:t>财务专用章</w:t>
      </w:r>
      <w:r>
        <w:rPr>
          <w:rFonts w:hint="eastAsia"/>
          <w:color w:val="auto"/>
          <w:spacing w:val="-11"/>
          <w:lang w:eastAsia="zh-CN"/>
        </w:rPr>
        <w:t>、</w:t>
      </w:r>
      <w:r>
        <w:rPr>
          <w:rFonts w:hint="eastAsia"/>
          <w:color w:val="auto"/>
          <w:spacing w:val="-11"/>
          <w:lang w:val="en-US" w:eastAsia="zh-CN"/>
        </w:rPr>
        <w:t>企业营业执照及主要合同等资料</w:t>
      </w:r>
      <w:r>
        <w:rPr>
          <w:color w:val="auto"/>
          <w:spacing w:val="-16"/>
        </w:rPr>
        <w:t>。</w:t>
      </w: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left="0" w:leftChars="0" w:right="0" w:rightChars="0" w:firstLine="639" w:firstLineChars="200"/>
        <w:jc w:val="both"/>
        <w:textAlignment w:val="auto"/>
        <w:rPr>
          <w:b/>
          <w:color w:val="auto"/>
          <w:spacing w:val="-3"/>
          <w:sz w:val="32"/>
        </w:rPr>
      </w:pPr>
      <w:r>
        <w:rPr>
          <w:rFonts w:hint="eastAsia"/>
          <w:b/>
          <w:bCs/>
          <w:color w:val="auto"/>
          <w:spacing w:val="-1"/>
          <w:sz w:val="32"/>
          <w:szCs w:val="32"/>
          <w:lang w:val="en-US" w:eastAsia="zh-CN"/>
        </w:rPr>
        <w:t>3</w:t>
      </w:r>
      <w:r>
        <w:rPr>
          <w:rFonts w:hint="eastAsia"/>
          <w:b/>
          <w:color w:val="auto"/>
          <w:spacing w:val="-3"/>
          <w:sz w:val="32"/>
          <w:lang w:val="en-US" w:eastAsia="zh-CN"/>
        </w:rPr>
        <w:t>.</w:t>
      </w:r>
      <w:r>
        <w:rPr>
          <w:b/>
          <w:color w:val="auto"/>
          <w:spacing w:val="-3"/>
          <w:sz w:val="32"/>
        </w:rPr>
        <w:t>需解除劳动合同的人员状况及安置方案、工资和补偿金数额</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rPr>
      </w:pPr>
      <w:r>
        <w:rPr>
          <w:rFonts w:hint="eastAsia"/>
          <w:color w:val="auto"/>
          <w:spacing w:val="-1"/>
          <w:lang w:eastAsia="zh-CN"/>
        </w:rPr>
        <w:t>华立</w:t>
      </w:r>
      <w:r>
        <w:rPr>
          <w:color w:val="auto"/>
          <w:spacing w:val="-1"/>
        </w:rPr>
        <w:t>房地产公司职工在破产受理前已经离职，且</w:t>
      </w:r>
      <w:r>
        <w:rPr>
          <w:rFonts w:hint="eastAsia"/>
          <w:color w:val="auto"/>
          <w:spacing w:val="-1"/>
          <w:lang w:val="en-US" w:eastAsia="zh-CN"/>
        </w:rPr>
        <w:t>无</w:t>
      </w:r>
      <w:r>
        <w:rPr>
          <w:color w:val="auto"/>
          <w:spacing w:val="-1"/>
        </w:rPr>
        <w:t>欠发</w:t>
      </w:r>
      <w:r>
        <w:rPr>
          <w:color w:val="auto"/>
          <w:spacing w:val="11"/>
          <w:w w:val="95"/>
        </w:rPr>
        <w:t>工资</w:t>
      </w:r>
      <w:r>
        <w:rPr>
          <w:color w:val="auto"/>
          <w:spacing w:val="11"/>
        </w:rPr>
        <w:t>。</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债权申报登记工作情况</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643" w:firstLineChars="200"/>
        <w:jc w:val="both"/>
        <w:textAlignment w:val="auto"/>
        <w:rPr>
          <w:color w:val="auto"/>
        </w:rPr>
      </w:pPr>
      <w:r>
        <w:rPr>
          <w:color w:val="auto"/>
        </w:rPr>
        <w:t>1.债权申报的期间</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92" w:firstLineChars="200"/>
        <w:jc w:val="both"/>
        <w:textAlignment w:val="auto"/>
        <w:rPr>
          <w:color w:val="auto"/>
          <w:spacing w:val="-28"/>
          <w:sz w:val="32"/>
        </w:rPr>
      </w:pPr>
      <w:r>
        <w:rPr>
          <w:color w:val="auto"/>
          <w:spacing w:val="-12"/>
          <w:sz w:val="32"/>
        </w:rPr>
        <w:t xml:space="preserve">自公告之日至 </w:t>
      </w:r>
      <w:r>
        <w:rPr>
          <w:color w:val="auto"/>
          <w:sz w:val="32"/>
        </w:rPr>
        <w:t>202</w:t>
      </w:r>
      <w:r>
        <w:rPr>
          <w:rFonts w:hint="eastAsia"/>
          <w:color w:val="auto"/>
          <w:sz w:val="32"/>
          <w:lang w:val="en-US" w:eastAsia="zh-CN"/>
        </w:rPr>
        <w:t>1</w:t>
      </w:r>
      <w:r>
        <w:rPr>
          <w:color w:val="auto"/>
          <w:spacing w:val="-55"/>
          <w:sz w:val="32"/>
        </w:rPr>
        <w:t>年</w:t>
      </w:r>
      <w:r>
        <w:rPr>
          <w:rFonts w:hint="eastAsia"/>
          <w:color w:val="auto"/>
          <w:spacing w:val="-55"/>
          <w:sz w:val="32"/>
          <w:lang w:val="en-US" w:eastAsia="zh-CN"/>
        </w:rPr>
        <w:t xml:space="preserve"> </w:t>
      </w:r>
      <w:r>
        <w:rPr>
          <w:rFonts w:hint="eastAsia"/>
          <w:color w:val="auto"/>
          <w:sz w:val="32"/>
          <w:lang w:val="en-US" w:eastAsia="zh-CN"/>
        </w:rPr>
        <w:t>3</w:t>
      </w:r>
      <w:r>
        <w:rPr>
          <w:color w:val="auto"/>
          <w:spacing w:val="-55"/>
          <w:sz w:val="32"/>
        </w:rPr>
        <w:t xml:space="preserve">月 </w:t>
      </w:r>
      <w:r>
        <w:rPr>
          <w:rFonts w:hint="eastAsia"/>
          <w:color w:val="auto"/>
          <w:sz w:val="32"/>
          <w:lang w:val="en-US" w:eastAsia="zh-CN"/>
        </w:rPr>
        <w:t>22</w:t>
      </w:r>
      <w:r>
        <w:rPr>
          <w:color w:val="auto"/>
          <w:spacing w:val="-28"/>
          <w:sz w:val="32"/>
        </w:rPr>
        <w:t>日。</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63" w:firstLineChars="250"/>
        <w:jc w:val="both"/>
        <w:textAlignment w:val="auto"/>
        <w:rPr>
          <w:b/>
          <w:color w:val="auto"/>
          <w:sz w:val="32"/>
        </w:rPr>
      </w:pPr>
      <w:r>
        <w:rPr>
          <w:b/>
          <w:color w:val="auto"/>
          <w:spacing w:val="-28"/>
          <w:sz w:val="32"/>
        </w:rPr>
        <w:t>2.登记的各类债权人数和总额</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0" w:firstLineChars="200"/>
        <w:jc w:val="both"/>
        <w:textAlignment w:val="auto"/>
        <w:rPr>
          <w:color w:val="auto"/>
          <w:spacing w:val="-29"/>
          <w:sz w:val="32"/>
        </w:rPr>
      </w:pPr>
      <w:r>
        <w:rPr>
          <w:color w:val="auto"/>
          <w:spacing w:val="-10"/>
        </w:rPr>
        <w:t>债权申报期限内，</w:t>
      </w:r>
      <w:r>
        <w:rPr>
          <w:color w:val="auto"/>
          <w:spacing w:val="-17"/>
        </w:rPr>
        <w:t>共有</w:t>
      </w:r>
      <w:r>
        <w:rPr>
          <w:rFonts w:hint="eastAsia"/>
          <w:color w:val="auto"/>
          <w:lang w:val="en-US" w:eastAsia="zh-CN"/>
        </w:rPr>
        <w:t>20家</w:t>
      </w:r>
      <w:r>
        <w:rPr>
          <w:color w:val="auto"/>
          <w:spacing w:val="-6"/>
        </w:rPr>
        <w:t>债权人向管</w:t>
      </w:r>
      <w:r>
        <w:rPr>
          <w:color w:val="auto"/>
          <w:spacing w:val="-13"/>
        </w:rPr>
        <w:t xml:space="preserve">理人申报债权，申报债权金额为 </w:t>
      </w:r>
      <w:r>
        <w:rPr>
          <w:rFonts w:hint="eastAsia"/>
          <w:color w:val="auto"/>
          <w:lang w:val="en-US" w:eastAsia="zh-CN"/>
        </w:rPr>
        <w:t>210</w:t>
      </w:r>
      <w:r>
        <w:rPr>
          <w:color w:val="auto"/>
        </w:rPr>
        <w:t>,</w:t>
      </w:r>
      <w:r>
        <w:rPr>
          <w:rFonts w:hint="eastAsia"/>
          <w:color w:val="auto"/>
          <w:lang w:val="en-US" w:eastAsia="zh-CN"/>
        </w:rPr>
        <w:t>201</w:t>
      </w:r>
      <w:r>
        <w:rPr>
          <w:color w:val="auto"/>
        </w:rPr>
        <w:t>,</w:t>
      </w:r>
      <w:r>
        <w:rPr>
          <w:rFonts w:hint="eastAsia"/>
          <w:color w:val="auto"/>
          <w:lang w:val="en-US" w:eastAsia="zh-CN"/>
        </w:rPr>
        <w:t>570</w:t>
      </w:r>
      <w:r>
        <w:rPr>
          <w:color w:val="auto"/>
        </w:rPr>
        <w:t>.</w:t>
      </w:r>
      <w:r>
        <w:rPr>
          <w:rFonts w:hint="eastAsia"/>
          <w:color w:val="auto"/>
          <w:lang w:val="en-US" w:eastAsia="zh-CN"/>
        </w:rPr>
        <w:t>83</w:t>
      </w:r>
      <w:r>
        <w:rPr>
          <w:color w:val="auto"/>
          <w:spacing w:val="-10"/>
        </w:rPr>
        <w:t>元。其中，</w:t>
      </w:r>
      <w:r>
        <w:rPr>
          <w:color w:val="auto"/>
          <w:spacing w:val="-4"/>
        </w:rPr>
        <w:t>主张对债务人的特定财产享有担保权的债权共</w:t>
      </w:r>
      <w:r>
        <w:rPr>
          <w:rFonts w:hint="eastAsia"/>
          <w:color w:val="auto"/>
          <w:lang w:val="en-US" w:eastAsia="zh-CN"/>
        </w:rPr>
        <w:t>3家</w:t>
      </w:r>
      <w:r>
        <w:rPr>
          <w:color w:val="auto"/>
          <w:spacing w:val="-17"/>
        </w:rPr>
        <w:t xml:space="preserve">，申报债权金额为 </w:t>
      </w:r>
      <w:r>
        <w:rPr>
          <w:rFonts w:hint="eastAsia"/>
          <w:color w:val="auto"/>
          <w:lang w:val="en-US" w:eastAsia="zh-CN"/>
        </w:rPr>
        <w:t>68</w:t>
      </w:r>
      <w:r>
        <w:rPr>
          <w:color w:val="auto"/>
        </w:rPr>
        <w:t>,</w:t>
      </w:r>
      <w:r>
        <w:rPr>
          <w:rFonts w:hint="eastAsia"/>
          <w:color w:val="auto"/>
          <w:lang w:val="en-US" w:eastAsia="zh-CN"/>
        </w:rPr>
        <w:t>839</w:t>
      </w:r>
      <w:r>
        <w:rPr>
          <w:color w:val="auto"/>
        </w:rPr>
        <w:t>,</w:t>
      </w:r>
      <w:r>
        <w:rPr>
          <w:rFonts w:hint="eastAsia"/>
          <w:color w:val="auto"/>
          <w:lang w:val="en-US" w:eastAsia="zh-CN"/>
        </w:rPr>
        <w:t>134</w:t>
      </w:r>
      <w:r>
        <w:rPr>
          <w:color w:val="auto"/>
        </w:rPr>
        <w:t>.</w:t>
      </w:r>
      <w:r>
        <w:rPr>
          <w:rFonts w:hint="eastAsia"/>
          <w:color w:val="auto"/>
          <w:lang w:val="en-US" w:eastAsia="zh-CN"/>
        </w:rPr>
        <w:t>7</w:t>
      </w:r>
      <w:r>
        <w:rPr>
          <w:color w:val="auto"/>
        </w:rPr>
        <w:t>7</w:t>
      </w:r>
      <w:r>
        <w:rPr>
          <w:color w:val="auto"/>
          <w:spacing w:val="-11"/>
        </w:rPr>
        <w:t>元；主张享有建筑工程价款优先债</w:t>
      </w:r>
      <w:r>
        <w:rPr>
          <w:color w:val="auto"/>
          <w:spacing w:val="-22"/>
        </w:rPr>
        <w:t>权的共</w:t>
      </w:r>
      <w:r>
        <w:rPr>
          <w:rFonts w:hint="eastAsia"/>
          <w:color w:val="auto"/>
          <w:lang w:val="en-US" w:eastAsia="zh-CN"/>
        </w:rPr>
        <w:t>5家</w:t>
      </w:r>
      <w:r>
        <w:rPr>
          <w:color w:val="auto"/>
          <w:spacing w:val="-25"/>
        </w:rPr>
        <w:t xml:space="preserve">，申报债权金额为 </w:t>
      </w:r>
      <w:r>
        <w:rPr>
          <w:rFonts w:hint="eastAsia"/>
          <w:color w:val="auto"/>
          <w:lang w:val="en-US" w:eastAsia="zh-CN"/>
        </w:rPr>
        <w:t>726</w:t>
      </w:r>
      <w:r>
        <w:rPr>
          <w:color w:val="auto"/>
        </w:rPr>
        <w:t>,</w:t>
      </w:r>
      <w:r>
        <w:rPr>
          <w:rFonts w:hint="eastAsia"/>
          <w:color w:val="auto"/>
          <w:lang w:val="en-US" w:eastAsia="zh-CN"/>
        </w:rPr>
        <w:t>069</w:t>
      </w:r>
      <w:r>
        <w:rPr>
          <w:color w:val="auto"/>
        </w:rPr>
        <w:t>.</w:t>
      </w:r>
      <w:r>
        <w:rPr>
          <w:rFonts w:hint="eastAsia"/>
          <w:color w:val="auto"/>
          <w:lang w:val="en-US" w:eastAsia="zh-CN"/>
        </w:rPr>
        <w:t>78</w:t>
      </w:r>
      <w:r>
        <w:rPr>
          <w:color w:val="auto"/>
          <w:spacing w:val="-3"/>
        </w:rPr>
        <w:t>元;</w:t>
      </w:r>
      <w:r>
        <w:rPr>
          <w:color w:val="auto"/>
          <w:spacing w:val="-8"/>
        </w:rPr>
        <w:t>主张普通债权</w:t>
      </w:r>
      <w:r>
        <w:rPr>
          <w:color w:val="auto"/>
          <w:spacing w:val="-41"/>
          <w:sz w:val="32"/>
        </w:rPr>
        <w:t>共</w:t>
      </w:r>
      <w:r>
        <w:rPr>
          <w:rFonts w:hint="eastAsia"/>
          <w:color w:val="auto"/>
          <w:spacing w:val="-41"/>
          <w:sz w:val="32"/>
          <w:lang w:val="en-US" w:eastAsia="zh-CN"/>
        </w:rPr>
        <w:t xml:space="preserve"> 12 家</w:t>
      </w:r>
      <w:r>
        <w:rPr>
          <w:color w:val="auto"/>
          <w:spacing w:val="-17"/>
          <w:sz w:val="32"/>
        </w:rPr>
        <w:t>，申报债权总额为</w:t>
      </w:r>
      <w:r>
        <w:rPr>
          <w:rFonts w:hint="eastAsia"/>
          <w:color w:val="auto"/>
          <w:sz w:val="32"/>
          <w:lang w:val="en-US" w:eastAsia="zh-CN"/>
        </w:rPr>
        <w:t>140</w:t>
      </w:r>
      <w:r>
        <w:rPr>
          <w:color w:val="auto"/>
          <w:sz w:val="32"/>
        </w:rPr>
        <w:t>,</w:t>
      </w:r>
      <w:r>
        <w:rPr>
          <w:rFonts w:hint="eastAsia"/>
          <w:color w:val="auto"/>
          <w:sz w:val="32"/>
          <w:lang w:val="en-US" w:eastAsia="zh-CN"/>
        </w:rPr>
        <w:t>636</w:t>
      </w:r>
      <w:r>
        <w:rPr>
          <w:color w:val="auto"/>
          <w:sz w:val="32"/>
        </w:rPr>
        <w:t>,3</w:t>
      </w:r>
      <w:r>
        <w:rPr>
          <w:rFonts w:hint="eastAsia"/>
          <w:color w:val="auto"/>
          <w:sz w:val="32"/>
          <w:lang w:val="en-US" w:eastAsia="zh-CN"/>
        </w:rPr>
        <w:t>66</w:t>
      </w:r>
      <w:r>
        <w:rPr>
          <w:color w:val="auto"/>
          <w:sz w:val="32"/>
        </w:rPr>
        <w:t>.2</w:t>
      </w:r>
      <w:r>
        <w:rPr>
          <w:rFonts w:hint="eastAsia"/>
          <w:color w:val="auto"/>
          <w:sz w:val="32"/>
          <w:lang w:val="en-US" w:eastAsia="zh-CN"/>
        </w:rPr>
        <w:t>8</w:t>
      </w:r>
      <w:r>
        <w:rPr>
          <w:color w:val="auto"/>
          <w:spacing w:val="-29"/>
          <w:sz w:val="32"/>
        </w:rPr>
        <w:t>元。</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27" w:firstLineChars="200"/>
        <w:jc w:val="both"/>
        <w:textAlignment w:val="auto"/>
        <w:rPr>
          <w:b/>
          <w:color w:val="auto"/>
          <w:sz w:val="32"/>
        </w:rPr>
      </w:pPr>
      <w:r>
        <w:rPr>
          <w:b/>
          <w:color w:val="auto"/>
          <w:spacing w:val="-29"/>
          <w:sz w:val="32"/>
        </w:rPr>
        <w:t>3.已审查完成的各类债权人数和总额</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72" w:firstLineChars="200"/>
        <w:jc w:val="both"/>
        <w:textAlignment w:val="auto"/>
        <w:rPr>
          <w:color w:val="auto"/>
        </w:rPr>
      </w:pPr>
      <w:r>
        <w:rPr>
          <w:color w:val="auto"/>
          <w:spacing w:val="-17"/>
        </w:rPr>
        <w:t>对编入债权表内的债权，管理人认为成立的共</w:t>
      </w:r>
      <w:r>
        <w:rPr>
          <w:rFonts w:hint="eastAsia"/>
          <w:color w:val="auto"/>
          <w:spacing w:val="-17"/>
          <w:lang w:val="en-US" w:eastAsia="zh-CN"/>
        </w:rPr>
        <w:t>17家</w:t>
      </w:r>
      <w:r>
        <w:rPr>
          <w:color w:val="auto"/>
          <w:spacing w:val="-30"/>
        </w:rPr>
        <w:t>，</w:t>
      </w:r>
      <w:r>
        <w:rPr>
          <w:color w:val="auto"/>
          <w:spacing w:val="-13"/>
        </w:rPr>
        <w:t>总额为人民币</w:t>
      </w:r>
      <w:r>
        <w:rPr>
          <w:rFonts w:hint="eastAsia"/>
          <w:color w:val="auto"/>
          <w:spacing w:val="-13"/>
          <w:lang w:val="en-US" w:eastAsia="zh-CN"/>
        </w:rPr>
        <w:t>172,252,091.38</w:t>
      </w:r>
      <w:r>
        <w:rPr>
          <w:color w:val="auto"/>
          <w:spacing w:val="-11"/>
        </w:rPr>
        <w:t>元。其中，对债务人的特定</w:t>
      </w:r>
      <w:r>
        <w:rPr>
          <w:color w:val="auto"/>
          <w:spacing w:val="-7"/>
        </w:rPr>
        <w:t>产享有担保权的债权共</w:t>
      </w:r>
      <w:r>
        <w:rPr>
          <w:rFonts w:hint="eastAsia"/>
          <w:color w:val="auto"/>
          <w:lang w:val="en-US" w:eastAsia="zh-CN"/>
        </w:rPr>
        <w:t>2家</w:t>
      </w:r>
      <w:r>
        <w:rPr>
          <w:color w:val="auto"/>
          <w:spacing w:val="-16"/>
        </w:rPr>
        <w:t>，总额为人民币</w:t>
      </w:r>
      <w:r>
        <w:rPr>
          <w:color w:val="auto"/>
        </w:rPr>
        <w:t>4</w:t>
      </w:r>
      <w:r>
        <w:rPr>
          <w:rFonts w:hint="eastAsia"/>
          <w:color w:val="auto"/>
          <w:lang w:val="en-US" w:eastAsia="zh-CN"/>
        </w:rPr>
        <w:t>6</w:t>
      </w:r>
      <w:r>
        <w:rPr>
          <w:color w:val="auto"/>
        </w:rPr>
        <w:t>,</w:t>
      </w:r>
      <w:r>
        <w:rPr>
          <w:rFonts w:hint="eastAsia"/>
          <w:color w:val="auto"/>
          <w:lang w:val="en-US" w:eastAsia="zh-CN"/>
        </w:rPr>
        <w:t>202</w:t>
      </w:r>
      <w:r>
        <w:rPr>
          <w:color w:val="auto"/>
        </w:rPr>
        <w:t>,</w:t>
      </w:r>
      <w:r>
        <w:rPr>
          <w:rFonts w:hint="eastAsia"/>
          <w:color w:val="auto"/>
          <w:lang w:val="en-US" w:eastAsia="zh-CN"/>
        </w:rPr>
        <w:t>075</w:t>
      </w:r>
      <w:r>
        <w:rPr>
          <w:color w:val="auto"/>
        </w:rPr>
        <w:t>.</w:t>
      </w:r>
      <w:r>
        <w:rPr>
          <w:rFonts w:hint="eastAsia"/>
          <w:color w:val="auto"/>
          <w:lang w:val="en-US" w:eastAsia="zh-CN"/>
        </w:rPr>
        <w:t>87</w:t>
      </w:r>
      <w:r>
        <w:rPr>
          <w:color w:val="auto"/>
          <w:spacing w:val="-11"/>
        </w:rPr>
        <w:t>元；普通债权共</w:t>
      </w:r>
      <w:r>
        <w:rPr>
          <w:rFonts w:hint="eastAsia"/>
          <w:color w:val="auto"/>
          <w:spacing w:val="-11"/>
          <w:lang w:val="en-US" w:eastAsia="zh-CN"/>
        </w:rPr>
        <w:t>15</w:t>
      </w:r>
      <w:r>
        <w:rPr>
          <w:rFonts w:hint="eastAsia"/>
          <w:color w:val="auto"/>
          <w:lang w:val="en-US" w:eastAsia="zh-CN"/>
        </w:rPr>
        <w:t>家</w:t>
      </w:r>
      <w:r>
        <w:rPr>
          <w:color w:val="auto"/>
        </w:rPr>
        <w:t>，总额为人民币</w:t>
      </w:r>
      <w:r>
        <w:rPr>
          <w:rFonts w:hint="eastAsia"/>
          <w:color w:val="auto"/>
        </w:rPr>
        <w:t>126,050,015.51</w:t>
      </w:r>
      <w:r>
        <w:rPr>
          <w:color w:val="auto"/>
        </w:rPr>
        <w:t>元。</w:t>
      </w:r>
    </w:p>
    <w:p>
      <w:pPr>
        <w:pStyle w:val="2"/>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3" w:firstLineChars="200"/>
        <w:jc w:val="both"/>
        <w:textAlignment w:val="auto"/>
        <w:rPr>
          <w:color w:val="auto"/>
        </w:rPr>
      </w:pPr>
      <w:r>
        <w:rPr>
          <w:rFonts w:hint="eastAsia"/>
          <w:color w:val="auto"/>
          <w:lang w:val="en-US" w:eastAsia="zh-CN"/>
        </w:rPr>
        <w:t>4.</w:t>
      </w:r>
      <w:r>
        <w:rPr>
          <w:color w:val="auto"/>
        </w:rPr>
        <w:t>暂缓认</w:t>
      </w:r>
      <w:bookmarkStart w:id="0" w:name="_GoBack"/>
      <w:bookmarkEnd w:id="0"/>
      <w:r>
        <w:rPr>
          <w:color w:val="auto"/>
        </w:rPr>
        <w:t>定的各类债权人数和总额</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60" w:firstLineChars="200"/>
        <w:jc w:val="both"/>
        <w:textAlignment w:val="auto"/>
        <w:rPr>
          <w:color w:val="auto"/>
        </w:rPr>
      </w:pPr>
      <w:r>
        <w:rPr>
          <w:color w:val="auto"/>
          <w:spacing w:val="13"/>
          <w:w w:val="95"/>
        </w:rPr>
        <w:t>对编入债权表内的债权，</w:t>
      </w:r>
      <w:r>
        <w:rPr>
          <w:rFonts w:hint="eastAsia"/>
          <w:color w:val="auto"/>
          <w:spacing w:val="13"/>
          <w:w w:val="95"/>
          <w:lang w:val="en-US" w:eastAsia="zh-CN"/>
        </w:rPr>
        <w:t>有3家</w:t>
      </w:r>
      <w:r>
        <w:rPr>
          <w:color w:val="auto"/>
          <w:spacing w:val="13"/>
          <w:w w:val="95"/>
        </w:rPr>
        <w:t>因</w:t>
      </w:r>
      <w:r>
        <w:rPr>
          <w:rFonts w:hint="eastAsia"/>
          <w:color w:val="auto"/>
          <w:spacing w:val="13"/>
          <w:w w:val="95"/>
          <w:lang w:val="en-US" w:eastAsia="zh-CN"/>
        </w:rPr>
        <w:t>涉及诉讼或需</w:t>
      </w:r>
      <w:r>
        <w:rPr>
          <w:color w:val="auto"/>
          <w:spacing w:val="13"/>
          <w:w w:val="95"/>
        </w:rPr>
        <w:t>补充证据等原</w:t>
      </w:r>
      <w:r>
        <w:rPr>
          <w:color w:val="auto"/>
          <w:spacing w:val="-6"/>
        </w:rPr>
        <w:t>因，</w:t>
      </w:r>
      <w:r>
        <w:rPr>
          <w:color w:val="auto"/>
          <w:spacing w:val="-14"/>
        </w:rPr>
        <w:t>暂</w:t>
      </w:r>
      <w:r>
        <w:rPr>
          <w:color w:val="auto"/>
          <w:spacing w:val="-2"/>
        </w:rPr>
        <w:t>缓认定的债权申报总额为</w:t>
      </w:r>
      <w:r>
        <w:rPr>
          <w:rFonts w:hint="eastAsia"/>
          <w:color w:val="auto"/>
          <w:lang w:val="en-US" w:eastAsia="zh-CN"/>
        </w:rPr>
        <w:t>30,665,669.78</w:t>
      </w:r>
      <w:r>
        <w:rPr>
          <w:color w:val="auto"/>
          <w:spacing w:val="-6"/>
        </w:rPr>
        <w:t>元。</w:t>
      </w:r>
    </w:p>
    <w:p>
      <w:pPr>
        <w:pStyle w:val="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643" w:firstLineChars="200"/>
        <w:jc w:val="both"/>
        <w:textAlignment w:val="auto"/>
        <w:rPr>
          <w:color w:val="auto"/>
        </w:rPr>
      </w:pPr>
      <w:r>
        <w:rPr>
          <w:rFonts w:hint="eastAsia"/>
          <w:color w:val="auto"/>
          <w:lang w:val="en-US" w:eastAsia="zh-CN"/>
        </w:rPr>
        <w:t>5.</w:t>
      </w:r>
      <w:r>
        <w:rPr>
          <w:color w:val="auto"/>
        </w:rPr>
        <w:t>职工债权人数和总额</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rPr>
      </w:pPr>
      <w:r>
        <w:rPr>
          <w:rFonts w:hint="eastAsia"/>
          <w:color w:val="auto"/>
          <w:spacing w:val="-1"/>
          <w:lang w:eastAsia="zh-CN"/>
        </w:rPr>
        <w:t>华立</w:t>
      </w:r>
      <w:r>
        <w:rPr>
          <w:color w:val="auto"/>
          <w:spacing w:val="-1"/>
        </w:rPr>
        <w:t>房地产公司职工在破产受理前已经离职，且</w:t>
      </w:r>
      <w:r>
        <w:rPr>
          <w:rFonts w:hint="eastAsia"/>
          <w:color w:val="auto"/>
          <w:spacing w:val="-1"/>
          <w:lang w:val="en-US" w:eastAsia="zh-CN"/>
        </w:rPr>
        <w:t>无</w:t>
      </w:r>
      <w:r>
        <w:rPr>
          <w:color w:val="auto"/>
          <w:spacing w:val="-1"/>
        </w:rPr>
        <w:t>欠发</w:t>
      </w:r>
      <w:r>
        <w:rPr>
          <w:color w:val="auto"/>
          <w:spacing w:val="11"/>
          <w:w w:val="95"/>
        </w:rPr>
        <w:t>工资</w:t>
      </w:r>
      <w:r>
        <w:rPr>
          <w:color w:val="auto"/>
          <w:spacing w:val="11"/>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w:t>
      </w:r>
      <w:r>
        <w:rPr>
          <w:rFonts w:hint="eastAsia"/>
          <w:color w:val="auto"/>
          <w:lang w:val="en-US" w:eastAsia="zh-CN"/>
        </w:rPr>
        <w:t>四</w:t>
      </w:r>
      <w:r>
        <w:rPr>
          <w:color w:val="auto"/>
        </w:rPr>
        <w:t>）有关债务人的民事诉讼和仲裁情况</w:t>
      </w:r>
    </w:p>
    <w:p>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31" w:firstLineChars="200"/>
        <w:jc w:val="both"/>
        <w:textAlignment w:val="auto"/>
        <w:rPr>
          <w:b/>
          <w:color w:val="auto"/>
          <w:sz w:val="32"/>
        </w:rPr>
      </w:pPr>
      <w:r>
        <w:rPr>
          <w:rFonts w:hint="eastAsia"/>
          <w:b/>
          <w:color w:val="auto"/>
          <w:spacing w:val="-3"/>
          <w:sz w:val="32"/>
          <w:lang w:val="en-US" w:eastAsia="zh-CN"/>
        </w:rPr>
        <w:t>1.</w:t>
      </w:r>
      <w:r>
        <w:rPr>
          <w:b/>
          <w:color w:val="auto"/>
          <w:spacing w:val="-3"/>
          <w:sz w:val="32"/>
        </w:rPr>
        <w:t>民事诉讼与仲裁的案件数量、争议标的金额、程序进</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b/>
          <w:color w:val="auto"/>
          <w:sz w:val="32"/>
        </w:rPr>
      </w:pPr>
      <w:r>
        <w:rPr>
          <w:b/>
          <w:color w:val="auto"/>
          <w:sz w:val="32"/>
        </w:rPr>
        <w:t>展等</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color w:val="auto"/>
        </w:rPr>
        <w:t>经调查，</w:t>
      </w:r>
      <w:r>
        <w:rPr>
          <w:rFonts w:hint="eastAsia"/>
          <w:color w:val="auto"/>
          <w:lang w:eastAsia="zh-CN"/>
        </w:rPr>
        <w:t>华立</w:t>
      </w:r>
      <w:r>
        <w:rPr>
          <w:color w:val="auto"/>
        </w:rPr>
        <w:t>房地产公司尚有未决诉讼1件，涉诉金</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color w:val="auto"/>
        </w:rPr>
      </w:pPr>
      <w:r>
        <w:rPr>
          <w:color w:val="auto"/>
        </w:rPr>
        <w:t>额</w:t>
      </w:r>
      <w:r>
        <w:rPr>
          <w:rFonts w:hint="eastAsia"/>
          <w:color w:val="auto"/>
          <w:lang w:val="en-US" w:eastAsia="zh-CN"/>
        </w:rPr>
        <w:t>为30</w:t>
      </w:r>
      <w:r>
        <w:rPr>
          <w:color w:val="auto"/>
        </w:rPr>
        <w:t>,</w:t>
      </w:r>
      <w:r>
        <w:rPr>
          <w:rFonts w:hint="eastAsia"/>
          <w:color w:val="auto"/>
          <w:lang w:val="en-US" w:eastAsia="zh-CN"/>
        </w:rPr>
        <w:t>613</w:t>
      </w:r>
      <w:r>
        <w:rPr>
          <w:color w:val="auto"/>
        </w:rPr>
        <w:t>,</w:t>
      </w:r>
      <w:r>
        <w:rPr>
          <w:rFonts w:hint="eastAsia"/>
          <w:color w:val="auto"/>
          <w:lang w:val="en-US" w:eastAsia="zh-CN"/>
        </w:rPr>
        <w:t>537</w:t>
      </w:r>
      <w:r>
        <w:rPr>
          <w:color w:val="auto"/>
        </w:rPr>
        <w:t>.</w:t>
      </w:r>
      <w:r>
        <w:rPr>
          <w:rFonts w:hint="eastAsia"/>
          <w:color w:val="auto"/>
          <w:lang w:val="en-US" w:eastAsia="zh-CN"/>
        </w:rPr>
        <w:t>78</w:t>
      </w:r>
      <w:r>
        <w:rPr>
          <w:color w:val="auto"/>
        </w:rPr>
        <w:t>元。</w:t>
      </w:r>
    </w:p>
    <w:p>
      <w:pPr>
        <w:pStyle w:val="2"/>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3" w:firstLineChars="200"/>
        <w:jc w:val="both"/>
        <w:textAlignment w:val="auto"/>
        <w:rPr>
          <w:color w:val="auto"/>
        </w:rPr>
      </w:pPr>
      <w:r>
        <w:rPr>
          <w:rFonts w:hint="eastAsia"/>
          <w:color w:val="auto"/>
          <w:lang w:val="en-US" w:eastAsia="zh-CN"/>
        </w:rPr>
        <w:t>2.</w:t>
      </w:r>
      <w:r>
        <w:rPr>
          <w:color w:val="auto"/>
        </w:rPr>
        <w:t>有关债务人财产的保全措施解除情况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rFonts w:hint="eastAsia"/>
          <w:color w:val="auto"/>
          <w:lang w:eastAsia="zh-CN"/>
        </w:rPr>
        <w:t>华立</w:t>
      </w:r>
      <w:r>
        <w:rPr>
          <w:color w:val="auto"/>
        </w:rPr>
        <w:t>房地产公司的房产、土地在破产申请受理前已被法院查封，管理人已通知法院解除查封。</w:t>
      </w:r>
    </w:p>
    <w:p>
      <w:pPr>
        <w:pStyle w:val="2"/>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3" w:firstLineChars="200"/>
        <w:jc w:val="both"/>
        <w:textAlignment w:val="auto"/>
        <w:rPr>
          <w:color w:val="auto"/>
        </w:rPr>
      </w:pPr>
      <w:r>
        <w:rPr>
          <w:rFonts w:hint="eastAsia"/>
          <w:color w:val="auto"/>
          <w:lang w:val="en-US" w:eastAsia="zh-CN"/>
        </w:rPr>
        <w:t>3.</w:t>
      </w:r>
      <w:r>
        <w:rPr>
          <w:color w:val="auto"/>
        </w:rPr>
        <w:t>有关债务人财产的执行程序中止情况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color w:val="auto"/>
        </w:rPr>
        <w:t>针对</w:t>
      </w:r>
      <w:r>
        <w:rPr>
          <w:rFonts w:hint="eastAsia"/>
          <w:color w:val="auto"/>
          <w:lang w:eastAsia="zh-CN"/>
        </w:rPr>
        <w:t>华立</w:t>
      </w:r>
      <w:r>
        <w:rPr>
          <w:color w:val="auto"/>
        </w:rPr>
        <w:t>房地产公司的执行程序，管理人已通知法院中止执行。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w:t>
      </w:r>
      <w:r>
        <w:rPr>
          <w:rFonts w:hint="eastAsia"/>
          <w:color w:val="auto"/>
          <w:lang w:val="en-US" w:eastAsia="zh-CN"/>
        </w:rPr>
        <w:t>五</w:t>
      </w:r>
      <w:r>
        <w:rPr>
          <w:color w:val="auto"/>
        </w:rPr>
        <w:t>）资产审计、评估工作情况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96" w:firstLineChars="200"/>
        <w:jc w:val="both"/>
        <w:textAlignment w:val="auto"/>
        <w:rPr>
          <w:rFonts w:hint="default" w:eastAsia="仿宋"/>
          <w:color w:val="auto"/>
          <w:lang w:val="en-US" w:eastAsia="zh-CN"/>
        </w:rPr>
      </w:pPr>
      <w:r>
        <w:rPr>
          <w:color w:val="auto"/>
          <w:spacing w:val="-11"/>
        </w:rPr>
        <w:t xml:space="preserve">为了更好地保护债权人的利益，管理人于 </w:t>
      </w:r>
      <w:r>
        <w:rPr>
          <w:color w:val="auto"/>
        </w:rPr>
        <w:t>202</w:t>
      </w:r>
      <w:r>
        <w:rPr>
          <w:rFonts w:hint="eastAsia"/>
          <w:color w:val="auto"/>
          <w:lang w:val="en-US" w:eastAsia="zh-CN"/>
        </w:rPr>
        <w:t>1</w:t>
      </w:r>
      <w:r>
        <w:rPr>
          <w:color w:val="auto"/>
          <w:spacing w:val="-56"/>
        </w:rPr>
        <w:t xml:space="preserve">年 </w:t>
      </w:r>
      <w:r>
        <w:rPr>
          <w:rFonts w:hint="eastAsia"/>
          <w:color w:val="auto"/>
          <w:spacing w:val="-56"/>
          <w:lang w:val="en-US" w:eastAsia="zh-CN"/>
        </w:rPr>
        <w:t xml:space="preserve"> </w:t>
      </w:r>
      <w:r>
        <w:rPr>
          <w:rFonts w:hint="eastAsia"/>
          <w:color w:val="auto"/>
          <w:lang w:val="en-US" w:eastAsia="zh-CN"/>
        </w:rPr>
        <w:t>2</w:t>
      </w:r>
      <w:r>
        <w:rPr>
          <w:color w:val="auto"/>
          <w:spacing w:val="-55"/>
        </w:rPr>
        <w:t xml:space="preserve"> 月</w:t>
      </w:r>
      <w:r>
        <w:rPr>
          <w:rFonts w:hint="eastAsia"/>
          <w:color w:val="auto"/>
          <w:spacing w:val="-55"/>
          <w:lang w:val="en-US" w:eastAsia="zh-CN"/>
        </w:rPr>
        <w:t xml:space="preserve"> 19</w:t>
      </w:r>
      <w:r>
        <w:rPr>
          <w:color w:val="auto"/>
          <w:spacing w:val="-1"/>
        </w:rPr>
        <w:t>日在全国企业破产重整案件信息网</w:t>
      </w:r>
      <w:r>
        <w:rPr>
          <w:rFonts w:hint="eastAsia"/>
          <w:color w:val="auto"/>
          <w:spacing w:val="-1"/>
          <w:lang w:eastAsia="zh-CN"/>
        </w:rPr>
        <w:t>、</w:t>
      </w:r>
      <w:r>
        <w:rPr>
          <w:rFonts w:hint="eastAsia"/>
          <w:color w:val="auto"/>
          <w:spacing w:val="-1"/>
          <w:lang w:val="en-US" w:eastAsia="zh-CN"/>
        </w:rPr>
        <w:t>山东利得清算事务有限公司网站</w:t>
      </w:r>
      <w:r>
        <w:rPr>
          <w:color w:val="auto"/>
          <w:spacing w:val="-1"/>
        </w:rPr>
        <w:t>上公开邀请审计、评估机</w:t>
      </w:r>
      <w:r>
        <w:rPr>
          <w:color w:val="auto"/>
          <w:spacing w:val="-2"/>
        </w:rPr>
        <w:t>构对</w:t>
      </w:r>
      <w:r>
        <w:rPr>
          <w:rFonts w:hint="eastAsia"/>
          <w:color w:val="auto"/>
          <w:spacing w:val="-2"/>
          <w:lang w:eastAsia="zh-CN"/>
        </w:rPr>
        <w:t>华立</w:t>
      </w:r>
      <w:r>
        <w:rPr>
          <w:color w:val="auto"/>
          <w:spacing w:val="-2"/>
        </w:rPr>
        <w:t>房地产公司进行审计和评估。经</w:t>
      </w:r>
      <w:r>
        <w:rPr>
          <w:rFonts w:hint="eastAsia"/>
          <w:color w:val="auto"/>
          <w:spacing w:val="-2"/>
          <w:lang w:val="en-US" w:eastAsia="zh-CN"/>
        </w:rPr>
        <w:t>债务人、</w:t>
      </w:r>
      <w:r>
        <w:rPr>
          <w:color w:val="auto"/>
          <w:spacing w:val="-2"/>
        </w:rPr>
        <w:t>债权人代表组成的</w:t>
      </w:r>
      <w:r>
        <w:rPr>
          <w:color w:val="auto"/>
          <w:spacing w:val="-4"/>
        </w:rPr>
        <w:t>评审组共同投票，评选了</w:t>
      </w:r>
      <w:r>
        <w:rPr>
          <w:rFonts w:hint="eastAsia" w:ascii="仿宋" w:hAnsi="仿宋" w:eastAsia="仿宋" w:cs="仿宋"/>
          <w:color w:val="auto"/>
          <w:sz w:val="32"/>
          <w:szCs w:val="32"/>
        </w:rPr>
        <w:t>中兴华会计师事务所（特殊普通合伙）威海分所</w:t>
      </w:r>
      <w:r>
        <w:rPr>
          <w:color w:val="auto"/>
          <w:spacing w:val="-4"/>
        </w:rPr>
        <w:t>为审计机构，评选了</w:t>
      </w:r>
      <w:r>
        <w:rPr>
          <w:rFonts w:hint="eastAsia" w:ascii="仿宋" w:hAnsi="仿宋" w:eastAsia="仿宋" w:cs="仿宋"/>
          <w:color w:val="auto"/>
          <w:sz w:val="32"/>
          <w:szCs w:val="32"/>
        </w:rPr>
        <w:t>山东大地房地产土地估价有限公司</w:t>
      </w:r>
      <w:r>
        <w:rPr>
          <w:color w:val="auto"/>
          <w:spacing w:val="-4"/>
        </w:rPr>
        <w:t>为评估机构，对</w:t>
      </w:r>
      <w:r>
        <w:rPr>
          <w:rFonts w:hint="eastAsia"/>
          <w:color w:val="auto"/>
          <w:spacing w:val="-4"/>
          <w:lang w:eastAsia="zh-CN"/>
        </w:rPr>
        <w:t>华立</w:t>
      </w:r>
      <w:r>
        <w:rPr>
          <w:color w:val="auto"/>
          <w:spacing w:val="-4"/>
        </w:rPr>
        <w:t>房地产公司的资产和财务进行审计和评估。</w:t>
      </w:r>
      <w:r>
        <w:rPr>
          <w:rFonts w:hint="eastAsia"/>
          <w:color w:val="auto"/>
          <w:spacing w:val="-4"/>
          <w:lang w:val="en-US" w:eastAsia="zh-CN"/>
        </w:rPr>
        <w:t>但因债务人相关负责人对债务人财务账簿移交不及时，目前财务审计和资产评估工作尚未完成。</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leftChars="0" w:right="0" w:firstLine="643" w:firstLineChars="200"/>
        <w:jc w:val="both"/>
        <w:textAlignment w:val="auto"/>
        <w:rPr>
          <w:color w:val="auto"/>
        </w:rPr>
      </w:pPr>
      <w:r>
        <w:rPr>
          <w:color w:val="auto"/>
        </w:rPr>
        <w:t>下一阶段的工作安排</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321" w:firstLineChars="100"/>
        <w:jc w:val="both"/>
        <w:textAlignment w:val="auto"/>
        <w:rPr>
          <w:color w:val="auto"/>
          <w:sz w:val="32"/>
        </w:rPr>
      </w:pPr>
      <w:r>
        <w:rPr>
          <w:b/>
          <w:color w:val="auto"/>
          <w:sz w:val="32"/>
        </w:rPr>
        <w:t>（一）进一步审查、复查、确认债权</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96" w:firstLineChars="200"/>
        <w:jc w:val="both"/>
        <w:textAlignment w:val="auto"/>
        <w:rPr>
          <w:color w:val="auto"/>
        </w:rPr>
      </w:pPr>
      <w:r>
        <w:rPr>
          <w:color w:val="auto"/>
          <w:spacing w:val="-11"/>
        </w:rPr>
        <w:t xml:space="preserve">根据《企业破产法》第 </w:t>
      </w:r>
      <w:r>
        <w:rPr>
          <w:color w:val="auto"/>
        </w:rPr>
        <w:t>57</w:t>
      </w:r>
      <w:r>
        <w:rPr>
          <w:color w:val="auto"/>
          <w:spacing w:val="-34"/>
        </w:rPr>
        <w:t xml:space="preserve"> 条、第 </w:t>
      </w:r>
      <w:r>
        <w:rPr>
          <w:color w:val="auto"/>
        </w:rPr>
        <w:t>58</w:t>
      </w:r>
      <w:r>
        <w:rPr>
          <w:color w:val="auto"/>
          <w:spacing w:val="-11"/>
        </w:rPr>
        <w:t xml:space="preserve"> 条的规定，管理人</w:t>
      </w:r>
      <w:r>
        <w:rPr>
          <w:color w:val="auto"/>
          <w:spacing w:val="-12"/>
          <w:w w:val="95"/>
        </w:rPr>
        <w:t>将债权表提交第一次债权人会议核查后，债权人对债权表记</w:t>
      </w:r>
      <w:r>
        <w:rPr>
          <w:color w:val="auto"/>
          <w:spacing w:val="-10"/>
          <w:w w:val="95"/>
        </w:rPr>
        <w:t>载的债权无异议的，由管理人提请法院裁定确认；债权人对债权表记载的债权有异议的，可以向管理人提出，管理人将</w:t>
      </w:r>
      <w:r>
        <w:rPr>
          <w:color w:val="auto"/>
          <w:spacing w:val="-7"/>
          <w:w w:val="95"/>
        </w:rPr>
        <w:t xml:space="preserve">对登记、计算、认定错误的债权进行调整、复核。若债权人对管理人的复核结果仍有异议的，可依法向法院提起诉讼。 </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28" w:firstLineChars="200"/>
        <w:jc w:val="both"/>
        <w:textAlignment w:val="auto"/>
        <w:rPr>
          <w:color w:val="auto"/>
        </w:rPr>
      </w:pPr>
      <w:r>
        <w:rPr>
          <w:color w:val="auto"/>
          <w:spacing w:val="-3"/>
        </w:rPr>
        <w:t>因此，管理人将依法受理并复查有异议的债权等，对于债权人无异议的债权，提请法院裁定确认；</w:t>
      </w:r>
      <w:r>
        <w:rPr>
          <w:color w:val="auto"/>
          <w:spacing w:val="11"/>
          <w:w w:val="95"/>
        </w:rPr>
        <w:t>同时继续受理并审查债权的补充申报，编制补充申报债权</w:t>
      </w:r>
      <w:r>
        <w:rPr>
          <w:color w:val="auto"/>
          <w:spacing w:val="11"/>
        </w:rPr>
        <w:t>表。</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（二）进一步调查、追回债务人财产</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2" w:firstLineChars="200"/>
        <w:jc w:val="both"/>
        <w:textAlignment w:val="auto"/>
        <w:rPr>
          <w:color w:val="auto"/>
        </w:rPr>
      </w:pPr>
      <w:r>
        <w:rPr>
          <w:color w:val="auto"/>
          <w:spacing w:val="-2"/>
        </w:rPr>
        <w:t>随着破产程序的展开，管理人结合审计情况，继续调查债务人的财产，其中包括依法对债务人对外债权进行清收、</w:t>
      </w:r>
      <w:r>
        <w:rPr>
          <w:color w:val="auto"/>
          <w:spacing w:val="-3"/>
        </w:rPr>
        <w:t>通过管理人行使撤销权</w:t>
      </w:r>
      <w:r>
        <w:rPr>
          <w:rFonts w:hint="eastAsia"/>
          <w:color w:val="auto"/>
          <w:spacing w:val="-3"/>
          <w:lang w:val="en-US" w:eastAsia="zh-CN"/>
        </w:rPr>
        <w:t>或解除双方均未履行完毕的合同</w:t>
      </w:r>
      <w:r>
        <w:rPr>
          <w:color w:val="auto"/>
          <w:spacing w:val="-3"/>
        </w:rPr>
        <w:t>等措施实现债务人财产的追回。如根</w:t>
      </w:r>
      <w:r>
        <w:rPr>
          <w:color w:val="auto"/>
          <w:spacing w:val="-8"/>
        </w:rPr>
        <w:t xml:space="preserve">据《企业破产法》第 </w:t>
      </w:r>
      <w:r>
        <w:rPr>
          <w:color w:val="auto"/>
        </w:rPr>
        <w:t>31</w:t>
      </w:r>
      <w:r>
        <w:rPr>
          <w:color w:val="auto"/>
          <w:spacing w:val="-25"/>
        </w:rPr>
        <w:t xml:space="preserve"> 条、</w:t>
      </w:r>
      <w:r>
        <w:rPr>
          <w:color w:val="auto"/>
        </w:rPr>
        <w:t>32</w:t>
      </w:r>
      <w:r>
        <w:rPr>
          <w:color w:val="auto"/>
          <w:spacing w:val="-8"/>
        </w:rPr>
        <w:t xml:space="preserve"> 条规定，对法院受理破产申</w:t>
      </w:r>
      <w:r>
        <w:rPr>
          <w:color w:val="auto"/>
          <w:spacing w:val="-9"/>
        </w:rPr>
        <w:t>请前一年内低价转让财产的行为、对法院受理破产申请前六个月内债务人的个别清偿的行为，依法行使撤销权。同时</w:t>
      </w:r>
      <w:r>
        <w:rPr>
          <w:rFonts w:hint="eastAsia"/>
          <w:color w:val="auto"/>
          <w:spacing w:val="-9"/>
          <w:lang w:eastAsia="zh-CN"/>
        </w:rPr>
        <w:t>，</w:t>
      </w:r>
      <w:r>
        <w:rPr>
          <w:color w:val="auto"/>
        </w:rPr>
        <w:t>如果发现有其他依法应当追收的资产，管理人也将依法进行追讨。</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（三）继续做好诉讼案件的应诉、起诉工作</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2" w:firstLineChars="200"/>
        <w:jc w:val="both"/>
        <w:textAlignment w:val="auto"/>
        <w:rPr>
          <w:color w:val="auto"/>
        </w:rPr>
      </w:pPr>
      <w:r>
        <w:rPr>
          <w:color w:val="auto"/>
          <w:spacing w:val="-2"/>
        </w:rPr>
        <w:t>对于债务人需要审理的案件，管理人将与各法院、仲裁</w:t>
      </w:r>
      <w:r>
        <w:rPr>
          <w:color w:val="auto"/>
          <w:spacing w:val="-4"/>
        </w:rPr>
        <w:t>机构协调开庭时间，准备应诉，维护债务人的利益；同时针</w:t>
      </w:r>
      <w:r>
        <w:rPr>
          <w:color w:val="auto"/>
          <w:spacing w:val="-6"/>
        </w:rPr>
        <w:t>对管理人需行使的撤销权、确认无效等破产衍生诉讼，做好计划，排期起诉。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（四）公开招募重整投资人</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rFonts w:hint="default" w:eastAsia="仿宋"/>
          <w:color w:val="auto"/>
          <w:lang w:val="en-US" w:eastAsia="zh-CN"/>
        </w:rPr>
      </w:pPr>
      <w:r>
        <w:rPr>
          <w:color w:val="auto"/>
          <w:spacing w:val="-1"/>
        </w:rPr>
        <w:t>鉴于债务人具有重整价值和重整可行性，也只有在债务</w:t>
      </w:r>
      <w:r>
        <w:rPr>
          <w:color w:val="auto"/>
          <w:spacing w:val="-3"/>
        </w:rPr>
        <w:t>人重整的情况下，才能避免债务人的资产按清算价值对外出</w:t>
      </w:r>
      <w:r>
        <w:rPr>
          <w:color w:val="auto"/>
          <w:spacing w:val="4"/>
        </w:rPr>
        <w:t>售。为了维护广大债权人的合法权益，管理人</w:t>
      </w:r>
      <w:r>
        <w:rPr>
          <w:rFonts w:hint="eastAsia"/>
          <w:color w:val="auto"/>
          <w:spacing w:val="4"/>
          <w:lang w:val="en-US" w:eastAsia="zh-CN"/>
        </w:rPr>
        <w:t>已于2021年4月2日</w:t>
      </w:r>
      <w:r>
        <w:rPr>
          <w:color w:val="auto"/>
          <w:spacing w:val="-4"/>
        </w:rPr>
        <w:t>通过全国企业破产重整案件信息网</w:t>
      </w:r>
      <w:r>
        <w:rPr>
          <w:rFonts w:hint="eastAsia"/>
          <w:color w:val="auto"/>
          <w:spacing w:val="-4"/>
          <w:lang w:eastAsia="zh-CN"/>
        </w:rPr>
        <w:t>、</w:t>
      </w:r>
      <w:r>
        <w:rPr>
          <w:rFonts w:hint="eastAsia"/>
          <w:color w:val="auto"/>
          <w:spacing w:val="-1"/>
          <w:lang w:val="en-US" w:eastAsia="zh-CN"/>
        </w:rPr>
        <w:t>山东利得清算事务有限公司网站</w:t>
      </w:r>
      <w:r>
        <w:rPr>
          <w:color w:val="auto"/>
          <w:spacing w:val="-4"/>
        </w:rPr>
        <w:t>向全国公开</w:t>
      </w:r>
      <w:r>
        <w:rPr>
          <w:color w:val="auto"/>
        </w:rPr>
        <w:t>招募重整投资人。</w:t>
      </w:r>
      <w:r>
        <w:rPr>
          <w:rFonts w:hint="eastAsia"/>
          <w:color w:val="auto"/>
          <w:lang w:val="en-US" w:eastAsia="zh-CN"/>
        </w:rPr>
        <w:t>待重整投资人报名后，管理人将与重整投资人积极沟通及时制作重整计划草案交提交第二次债权人会议表决。</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auto"/>
        </w:rPr>
      </w:pPr>
      <w:r>
        <w:rPr>
          <w:color w:val="auto"/>
        </w:rPr>
        <w:t>（五）积极筹备第二次债权人会议</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96" w:firstLineChars="200"/>
        <w:jc w:val="both"/>
        <w:textAlignment w:val="auto"/>
        <w:rPr>
          <w:color w:val="auto"/>
          <w:spacing w:val="-9"/>
        </w:rPr>
      </w:pPr>
      <w:r>
        <w:rPr>
          <w:color w:val="auto"/>
          <w:spacing w:val="-11"/>
        </w:rPr>
        <w:t xml:space="preserve">根据《企业破产法》第 </w:t>
      </w:r>
      <w:r>
        <w:rPr>
          <w:color w:val="auto"/>
        </w:rPr>
        <w:t>62</w:t>
      </w:r>
      <w:r>
        <w:rPr>
          <w:color w:val="auto"/>
          <w:spacing w:val="-34"/>
        </w:rPr>
        <w:t xml:space="preserve"> 条、第 </w:t>
      </w:r>
      <w:r>
        <w:rPr>
          <w:color w:val="auto"/>
        </w:rPr>
        <w:t>63</w:t>
      </w:r>
      <w:r>
        <w:rPr>
          <w:color w:val="auto"/>
          <w:spacing w:val="-11"/>
        </w:rPr>
        <w:t xml:space="preserve"> 条的规定，第一次以后的债权人会议，在人民法院认为必要时，或者管理人、</w:t>
      </w:r>
      <w:r>
        <w:rPr>
          <w:color w:val="auto"/>
          <w:spacing w:val="-9"/>
        </w:rPr>
        <w:t>债权人委员会、占债权总额四分之一以上的债权人向债权人会议主席提议时召开。对于第二次债权人会议，管理人将根据相关工作的进程，适时提议召开，并于会议召开前十五日通知已知的债权人，公布相关议案，由债权人会议审查。</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rPr>
      </w:pPr>
      <w:r>
        <w:rPr>
          <w:color w:val="auto"/>
          <w:spacing w:val="-1"/>
        </w:rPr>
        <w:t>以上报告是管理人成立以来的阶段性工作报告，目前管</w:t>
      </w:r>
      <w:r>
        <w:rPr>
          <w:color w:val="auto"/>
          <w:spacing w:val="-3"/>
          <w:w w:val="95"/>
        </w:rPr>
        <w:t>理人正处于对债务人调查摸底、全面掌握情况阶段，报告所</w:t>
      </w:r>
      <w:r>
        <w:rPr>
          <w:color w:val="auto"/>
          <w:spacing w:val="-5"/>
          <w:w w:val="95"/>
        </w:rPr>
        <w:t>引用数据仅是初步数据。根据以后变化的情况，将随时进行</w:t>
      </w:r>
      <w:r>
        <w:rPr>
          <w:color w:val="auto"/>
          <w:spacing w:val="-5"/>
        </w:rPr>
        <w:t>修改、调整、补充。</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0" w:firstLineChars="200"/>
        <w:jc w:val="both"/>
        <w:textAlignment w:val="auto"/>
        <w:rPr>
          <w:color w:val="auto"/>
        </w:rPr>
      </w:pPr>
      <w:r>
        <w:rPr>
          <w:color w:val="auto"/>
          <w:spacing w:val="-2"/>
          <w:w w:val="95"/>
        </w:rPr>
        <w:t>管理人将在法院和债权人会议的监督下，恪尽职守，依</w:t>
      </w:r>
      <w:r>
        <w:rPr>
          <w:color w:val="auto"/>
          <w:spacing w:val="-3"/>
        </w:rPr>
        <w:t>法履行管理人法定职责，保障债务人破产重整工作的顺利进</w:t>
      </w:r>
      <w:r>
        <w:rPr>
          <w:color w:val="auto"/>
          <w:spacing w:val="-4"/>
        </w:rPr>
        <w:t>行，并争取债务人、债权人等多方面的合作，最大限度地保障债权人及相关各方的合法权益。</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color w:val="auto"/>
        </w:rPr>
        <w:t>特此报告。</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0" w:firstLineChars="200"/>
        <w:jc w:val="both"/>
        <w:textAlignment w:val="auto"/>
        <w:rPr>
          <w:color w:val="auto"/>
          <w:sz w:val="12"/>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240" w:firstLineChars="700"/>
        <w:jc w:val="both"/>
        <w:textAlignment w:val="auto"/>
        <w:rPr>
          <w:color w:val="auto"/>
        </w:rPr>
      </w:pPr>
      <w:r>
        <w:rPr>
          <w:color w:val="auto"/>
        </w:rPr>
        <w:t>威海</w:t>
      </w:r>
      <w:r>
        <w:rPr>
          <w:rFonts w:hint="eastAsia"/>
          <w:color w:val="auto"/>
          <w:lang w:eastAsia="zh-CN"/>
        </w:rPr>
        <w:t>华立</w:t>
      </w:r>
      <w:r>
        <w:rPr>
          <w:color w:val="auto"/>
        </w:rPr>
        <w:t>房地产开发有限公司管理人</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200" w:firstLineChars="1000"/>
        <w:jc w:val="both"/>
        <w:textAlignment w:val="auto"/>
        <w:rPr>
          <w:color w:val="auto"/>
          <w:spacing w:val="-5"/>
          <w:w w:val="95"/>
        </w:rPr>
      </w:pPr>
      <w:r>
        <w:rPr>
          <w:color w:val="auto"/>
        </w:rPr>
        <w:t>二〇二</w:t>
      </w:r>
      <w:r>
        <w:rPr>
          <w:rFonts w:hint="eastAsia"/>
          <w:color w:val="auto"/>
          <w:lang w:val="en-US" w:eastAsia="zh-CN"/>
        </w:rPr>
        <w:t>一</w:t>
      </w:r>
      <w:r>
        <w:rPr>
          <w:color w:val="auto"/>
        </w:rPr>
        <w:t>年</w:t>
      </w:r>
      <w:r>
        <w:rPr>
          <w:rFonts w:hint="eastAsia"/>
          <w:color w:val="auto"/>
          <w:lang w:val="en-US" w:eastAsia="zh-CN"/>
        </w:rPr>
        <w:t>四</w:t>
      </w:r>
      <w:r>
        <w:rPr>
          <w:color w:val="auto"/>
        </w:rPr>
        <w:t>月</w:t>
      </w:r>
      <w:r>
        <w:rPr>
          <w:rFonts w:hint="eastAsia"/>
          <w:color w:val="auto"/>
          <w:lang w:val="en-US" w:eastAsia="zh-CN"/>
        </w:rPr>
        <w:t>六</w:t>
      </w:r>
      <w:r>
        <w:rPr>
          <w:color w:val="auto"/>
        </w:rPr>
        <w:t>日</w:t>
      </w:r>
    </w:p>
    <w:sectPr>
      <w:footerReference r:id="rId6" w:type="default"/>
      <w:pgSz w:w="11910" w:h="16840"/>
      <w:pgMar w:top="1440" w:right="1800" w:bottom="1440" w:left="1800" w:header="0" w:footer="4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0"/>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0AEDC"/>
    <w:multiLevelType w:val="singleLevel"/>
    <w:tmpl w:val="9DB0AEDC"/>
    <w:lvl w:ilvl="0" w:tentative="0">
      <w:start w:val="3"/>
      <w:numFmt w:val="chineseCounting"/>
      <w:suff w:val="nothing"/>
      <w:lvlText w:val="（%1）"/>
      <w:lvlJc w:val="left"/>
      <w:rPr>
        <w:rFonts w:hint="eastAsia"/>
      </w:rPr>
    </w:lvl>
  </w:abstractNum>
  <w:abstractNum w:abstractNumId="1">
    <w:nsid w:val="AB4ACFCF"/>
    <w:multiLevelType w:val="singleLevel"/>
    <w:tmpl w:val="AB4ACF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DE5DAD"/>
    <w:rsid w:val="07292AA9"/>
    <w:rsid w:val="1B5C734F"/>
    <w:rsid w:val="26E92438"/>
    <w:rsid w:val="2DD53016"/>
    <w:rsid w:val="2E396318"/>
    <w:rsid w:val="2F1838A3"/>
    <w:rsid w:val="4B7A5BC8"/>
    <w:rsid w:val="60446D90"/>
    <w:rsid w:val="663325CE"/>
    <w:rsid w:val="712D1CC7"/>
    <w:rsid w:val="736614C3"/>
    <w:rsid w:val="7F187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2"/>
      <w:ind w:left="760" w:hanging="323"/>
      <w:outlineLvl w:val="1"/>
    </w:pPr>
    <w:rPr>
      <w:rFonts w:ascii="仿宋" w:hAnsi="仿宋" w:eastAsia="仿宋" w:cs="仿宋"/>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14"/>
      <w:ind w:left="120"/>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14"/>
      <w:ind w:left="1082" w:hanging="323"/>
    </w:pPr>
    <w:rPr>
      <w:rFonts w:ascii="仿宋" w:hAnsi="仿宋" w:eastAsia="仿宋" w:cs="仿宋"/>
      <w:lang w:val="zh-CN" w:eastAsia="zh-CN" w:bidi="zh-CN"/>
    </w:rPr>
  </w:style>
  <w:style w:type="paragraph" w:customStyle="1" w:styleId="10">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2021-03-31T01:11:00Z</dcterms:created>
  <dc:creator>giantlion</dc:creator>
  <cp:lastModifiedBy>侯登辉</cp:lastModifiedBy>
  <cp:lastPrinted>2021-04-05T03:45:14Z</cp:lastPrinted>
  <dcterms:modified xsi:type="dcterms:W3CDTF">2021-04-05T03:45:42Z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WPS 文字</vt:lpwstr>
  </property>
  <property fmtid="{D5CDD505-2E9C-101B-9397-08002B2CF9AE}" pid="4" name="LastSaved">
    <vt:filetime>2021-03-31T00:00:00Z</vt:filetime>
  </property>
  <property fmtid="{D5CDD505-2E9C-101B-9397-08002B2CF9AE}" pid="5" name="KSOProductBuildVer">
    <vt:lpwstr>2052-11.1.0.10356</vt:lpwstr>
  </property>
  <property fmtid="{D5CDD505-2E9C-101B-9397-08002B2CF9AE}" pid="6" name="ICV">
    <vt:lpwstr>F8B4B12AB2444C74BE16BFA8A88D1415</vt:lpwstr>
  </property>
</Properties>
</file>