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ascii="Times New Roman"/>
          <w:color w:val="auto"/>
          <w:sz w:val="9"/>
        </w:rPr>
      </w:pPr>
    </w:p>
    <w:p>
      <w:pPr>
        <w:keepNext w:val="0"/>
        <w:keepLines w:val="0"/>
        <w:pageBreakBefore w:val="0"/>
        <w:widowControl w:val="0"/>
        <w:kinsoku/>
        <w:wordWrap/>
        <w:overflowPunct/>
        <w:topLinePunct w:val="0"/>
        <w:autoSpaceDE w:val="0"/>
        <w:autoSpaceDN w:val="0"/>
        <w:bidi w:val="0"/>
        <w:adjustRightInd/>
        <w:snapToGrid/>
        <w:spacing w:before="0" w:line="360" w:lineRule="auto"/>
        <w:ind w:right="0" w:firstLine="442" w:firstLineChars="100"/>
        <w:jc w:val="both"/>
        <w:textAlignment w:val="auto"/>
        <w:rPr>
          <w:rFonts w:ascii="宋体"/>
          <w:b/>
          <w:color w:val="auto"/>
          <w:sz w:val="40"/>
        </w:rPr>
      </w:pPr>
      <w:r>
        <w:rPr>
          <w:rFonts w:hint="eastAsia" w:ascii="宋体" w:eastAsia="宋体"/>
          <w:b/>
          <w:color w:val="auto"/>
          <w:sz w:val="44"/>
        </w:rPr>
        <w:t>关于提请债权人会议核查债权的报告</w:t>
      </w:r>
    </w:p>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right"/>
        <w:textAlignment w:val="auto"/>
        <w:rPr>
          <w:b/>
          <w:bCs/>
          <w:color w:val="auto"/>
          <w:sz w:val="28"/>
        </w:rPr>
      </w:pPr>
    </w:p>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right"/>
        <w:textAlignment w:val="auto"/>
        <w:rPr>
          <w:b/>
          <w:bCs/>
          <w:color w:val="auto"/>
          <w:sz w:val="28"/>
        </w:rPr>
      </w:pPr>
      <w:r>
        <w:rPr>
          <w:b/>
          <w:bCs/>
          <w:color w:val="auto"/>
          <w:sz w:val="28"/>
        </w:rPr>
        <w:t>（202</w:t>
      </w:r>
      <w:r>
        <w:rPr>
          <w:rFonts w:hint="eastAsia"/>
          <w:b/>
          <w:bCs/>
          <w:color w:val="auto"/>
          <w:sz w:val="28"/>
          <w:lang w:val="en-US" w:eastAsia="zh-CN"/>
        </w:rPr>
        <w:t>1</w:t>
      </w:r>
      <w:r>
        <w:rPr>
          <w:b/>
          <w:bCs/>
          <w:color w:val="auto"/>
          <w:sz w:val="28"/>
        </w:rPr>
        <w:t>）</w:t>
      </w:r>
      <w:r>
        <w:rPr>
          <w:rFonts w:hint="eastAsia"/>
          <w:b/>
          <w:bCs/>
          <w:color w:val="auto"/>
          <w:sz w:val="28"/>
          <w:lang w:eastAsia="zh-CN"/>
        </w:rPr>
        <w:t>华立</w:t>
      </w:r>
      <w:r>
        <w:rPr>
          <w:b/>
          <w:bCs/>
          <w:color w:val="auto"/>
          <w:sz w:val="28"/>
        </w:rPr>
        <w:t>破管字第</w:t>
      </w:r>
      <w:r>
        <w:rPr>
          <w:rFonts w:hint="eastAsia"/>
          <w:b/>
          <w:bCs/>
          <w:color w:val="auto"/>
          <w:sz w:val="28"/>
          <w:lang w:val="en-US" w:eastAsia="zh-CN"/>
        </w:rPr>
        <w:t>8</w:t>
      </w:r>
      <w:r>
        <w:rPr>
          <w:b/>
          <w:bCs/>
          <w:color w:val="auto"/>
          <w:sz w:val="28"/>
        </w:rPr>
        <w:t>号</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color w:val="auto"/>
          <w:sz w:val="28"/>
        </w:rPr>
      </w:pP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color w:val="auto"/>
        </w:rPr>
      </w:pPr>
      <w:r>
        <w:rPr>
          <w:color w:val="auto"/>
        </w:rPr>
        <w:t>威海</w:t>
      </w:r>
      <w:r>
        <w:rPr>
          <w:rFonts w:hint="eastAsia"/>
          <w:color w:val="auto"/>
          <w:lang w:eastAsia="zh-CN"/>
        </w:rPr>
        <w:t>华立</w:t>
      </w:r>
      <w:r>
        <w:rPr>
          <w:color w:val="auto"/>
        </w:rPr>
        <w:t>房地产开发有限公司债权人会议：</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636" w:firstLineChars="200"/>
        <w:jc w:val="both"/>
        <w:textAlignment w:val="auto"/>
        <w:rPr>
          <w:color w:val="auto"/>
          <w:spacing w:val="-4"/>
        </w:rPr>
      </w:pPr>
      <w:r>
        <w:rPr>
          <w:color w:val="auto"/>
          <w:spacing w:val="-1"/>
        </w:rPr>
        <w:t>威海</w:t>
      </w:r>
      <w:r>
        <w:rPr>
          <w:rFonts w:hint="eastAsia"/>
          <w:color w:val="auto"/>
          <w:spacing w:val="-1"/>
          <w:lang w:val="en-US" w:eastAsia="zh-CN"/>
        </w:rPr>
        <w:t>华立</w:t>
      </w:r>
      <w:r>
        <w:rPr>
          <w:color w:val="auto"/>
          <w:spacing w:val="-1"/>
        </w:rPr>
        <w:t>房地产开发有限公司</w:t>
      </w:r>
      <w:r>
        <w:rPr>
          <w:color w:val="auto"/>
        </w:rPr>
        <w:t>（</w:t>
      </w:r>
      <w:r>
        <w:rPr>
          <w:color w:val="auto"/>
          <w:spacing w:val="-2"/>
        </w:rPr>
        <w:t>以下简称“</w:t>
      </w:r>
      <w:r>
        <w:rPr>
          <w:rFonts w:hint="eastAsia"/>
          <w:color w:val="auto"/>
          <w:spacing w:val="-2"/>
          <w:lang w:val="en-US" w:eastAsia="zh-CN"/>
        </w:rPr>
        <w:t>华立</w:t>
      </w:r>
      <w:r>
        <w:rPr>
          <w:color w:val="auto"/>
          <w:spacing w:val="-48"/>
        </w:rPr>
        <w:t>公司”</w:t>
      </w:r>
      <w:r>
        <w:rPr>
          <w:color w:val="auto"/>
          <w:spacing w:val="-138"/>
        </w:rPr>
        <w:t>）</w:t>
      </w:r>
      <w:r>
        <w:rPr>
          <w:color w:val="auto"/>
          <w:spacing w:val="-16"/>
        </w:rPr>
        <w:t>因不能清偿到期债务，</w:t>
      </w:r>
      <w:r>
        <w:rPr>
          <w:rFonts w:hint="eastAsia"/>
          <w:color w:val="auto"/>
          <w:spacing w:val="-16"/>
          <w:lang w:val="en-US" w:eastAsia="zh-CN"/>
        </w:rPr>
        <w:t>威海市环翠区</w:t>
      </w:r>
      <w:r>
        <w:rPr>
          <w:color w:val="auto"/>
          <w:spacing w:val="-16"/>
        </w:rPr>
        <w:t xml:space="preserve">人民法院于 </w:t>
      </w:r>
      <w:r>
        <w:rPr>
          <w:color w:val="auto"/>
        </w:rPr>
        <w:t>202</w:t>
      </w:r>
      <w:r>
        <w:rPr>
          <w:rFonts w:hint="eastAsia"/>
          <w:color w:val="auto"/>
          <w:lang w:val="en-US" w:eastAsia="zh-CN"/>
        </w:rPr>
        <w:t>1</w:t>
      </w:r>
      <w:r>
        <w:rPr>
          <w:color w:val="auto"/>
          <w:spacing w:val="-40"/>
        </w:rPr>
        <w:t xml:space="preserve">年 </w:t>
      </w:r>
      <w:r>
        <w:rPr>
          <w:rFonts w:hint="eastAsia"/>
          <w:color w:val="auto"/>
          <w:lang w:val="en-US" w:eastAsia="zh-CN"/>
        </w:rPr>
        <w:t>2</w:t>
      </w:r>
      <w:r>
        <w:rPr>
          <w:color w:val="auto"/>
          <w:spacing w:val="-53"/>
        </w:rPr>
        <w:t>月</w:t>
      </w:r>
      <w:r>
        <w:rPr>
          <w:rFonts w:hint="eastAsia"/>
          <w:color w:val="auto"/>
          <w:spacing w:val="-53"/>
          <w:lang w:val="en-US" w:eastAsia="zh-CN"/>
        </w:rPr>
        <w:t xml:space="preserve"> 3 </w:t>
      </w:r>
      <w:r>
        <w:rPr>
          <w:color w:val="auto"/>
          <w:spacing w:val="-3"/>
        </w:rPr>
        <w:t>日裁定受理</w:t>
      </w:r>
      <w:r>
        <w:rPr>
          <w:rFonts w:hint="eastAsia"/>
          <w:color w:val="auto"/>
          <w:spacing w:val="-3"/>
          <w:lang w:val="en-US" w:eastAsia="zh-CN"/>
        </w:rPr>
        <w:t>鲁海涛</w:t>
      </w:r>
      <w:r>
        <w:rPr>
          <w:color w:val="auto"/>
          <w:spacing w:val="-3"/>
        </w:rPr>
        <w:t>对</w:t>
      </w:r>
      <w:r>
        <w:rPr>
          <w:rFonts w:hint="eastAsia"/>
          <w:color w:val="auto"/>
          <w:spacing w:val="-2"/>
          <w:lang w:val="en-US" w:eastAsia="zh-CN"/>
        </w:rPr>
        <w:t>华立</w:t>
      </w:r>
      <w:r>
        <w:rPr>
          <w:color w:val="auto"/>
          <w:spacing w:val="-4"/>
        </w:rPr>
        <w:t>公司的破产重整申请，并指定山东利得清算事务有限公司担任管理人（以下简称“管理人”）。</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640" w:firstLineChars="200"/>
        <w:jc w:val="both"/>
        <w:textAlignment w:val="auto"/>
        <w:rPr>
          <w:color w:val="auto"/>
        </w:rPr>
      </w:pPr>
      <w:r>
        <w:rPr>
          <w:color w:val="auto"/>
        </w:rPr>
        <w:t>本案的债权申报期限经</w:t>
      </w:r>
      <w:r>
        <w:rPr>
          <w:rFonts w:hint="eastAsia"/>
          <w:color w:val="auto"/>
          <w:lang w:val="en-US" w:eastAsia="zh-CN"/>
        </w:rPr>
        <w:t>威海市环翠区</w:t>
      </w:r>
      <w:r>
        <w:rPr>
          <w:color w:val="auto"/>
        </w:rPr>
        <w:t>人民法院确定，自公告之日起</w:t>
      </w:r>
      <w:r>
        <w:rPr>
          <w:color w:val="auto"/>
          <w:spacing w:val="-41"/>
        </w:rPr>
        <w:t xml:space="preserve">至 </w:t>
      </w:r>
      <w:r>
        <w:rPr>
          <w:color w:val="auto"/>
        </w:rPr>
        <w:t>202</w:t>
      </w:r>
      <w:r>
        <w:rPr>
          <w:rFonts w:hint="eastAsia"/>
          <w:color w:val="auto"/>
          <w:lang w:val="en-US" w:eastAsia="zh-CN"/>
        </w:rPr>
        <w:t>1</w:t>
      </w:r>
      <w:r>
        <w:rPr>
          <w:color w:val="auto"/>
          <w:spacing w:val="-54"/>
        </w:rPr>
        <w:t xml:space="preserve"> 年 </w:t>
      </w:r>
      <w:r>
        <w:rPr>
          <w:rFonts w:hint="eastAsia"/>
          <w:color w:val="auto"/>
          <w:lang w:val="en-US" w:eastAsia="zh-CN"/>
        </w:rPr>
        <w:t>3</w:t>
      </w:r>
      <w:r>
        <w:rPr>
          <w:color w:val="auto"/>
          <w:spacing w:val="-55"/>
        </w:rPr>
        <w:t>月</w:t>
      </w:r>
      <w:r>
        <w:rPr>
          <w:rFonts w:hint="eastAsia"/>
          <w:color w:val="auto"/>
          <w:spacing w:val="-55"/>
          <w:lang w:val="en-US" w:eastAsia="zh-CN"/>
        </w:rPr>
        <w:t xml:space="preserve"> 22 </w:t>
      </w:r>
      <w:r>
        <w:rPr>
          <w:color w:val="auto"/>
          <w:spacing w:val="-15"/>
        </w:rPr>
        <w:t>日止。</w:t>
      </w:r>
      <w:r>
        <w:rPr>
          <w:color w:val="auto"/>
          <w:spacing w:val="-10"/>
        </w:rPr>
        <w:t>债权申报期限内，</w:t>
      </w:r>
      <w:r>
        <w:rPr>
          <w:color w:val="auto"/>
          <w:spacing w:val="-17"/>
        </w:rPr>
        <w:t>共有</w:t>
      </w:r>
      <w:r>
        <w:rPr>
          <w:rFonts w:hint="eastAsia"/>
          <w:color w:val="auto"/>
          <w:lang w:val="en-US" w:eastAsia="zh-CN"/>
        </w:rPr>
        <w:t>20家</w:t>
      </w:r>
      <w:r>
        <w:rPr>
          <w:color w:val="auto"/>
          <w:spacing w:val="-6"/>
        </w:rPr>
        <w:t>债权人向管</w:t>
      </w:r>
      <w:r>
        <w:rPr>
          <w:color w:val="auto"/>
          <w:spacing w:val="-13"/>
        </w:rPr>
        <w:t xml:space="preserve">理人申报债权，申报债权金额为 </w:t>
      </w:r>
      <w:r>
        <w:rPr>
          <w:rFonts w:hint="eastAsia"/>
          <w:color w:val="auto"/>
          <w:lang w:val="en-US" w:eastAsia="zh-CN"/>
        </w:rPr>
        <w:t>210</w:t>
      </w:r>
      <w:r>
        <w:rPr>
          <w:color w:val="auto"/>
        </w:rPr>
        <w:t>,</w:t>
      </w:r>
      <w:r>
        <w:rPr>
          <w:rFonts w:hint="eastAsia"/>
          <w:color w:val="auto"/>
          <w:lang w:val="en-US" w:eastAsia="zh-CN"/>
        </w:rPr>
        <w:t>201</w:t>
      </w:r>
      <w:r>
        <w:rPr>
          <w:color w:val="auto"/>
        </w:rPr>
        <w:t>,</w:t>
      </w:r>
      <w:r>
        <w:rPr>
          <w:rFonts w:hint="eastAsia"/>
          <w:color w:val="auto"/>
          <w:lang w:val="en-US" w:eastAsia="zh-CN"/>
        </w:rPr>
        <w:t>570</w:t>
      </w:r>
      <w:r>
        <w:rPr>
          <w:color w:val="auto"/>
        </w:rPr>
        <w:t>.</w:t>
      </w:r>
      <w:r>
        <w:rPr>
          <w:rFonts w:hint="eastAsia"/>
          <w:color w:val="auto"/>
          <w:lang w:val="en-US" w:eastAsia="zh-CN"/>
        </w:rPr>
        <w:t>83</w:t>
      </w:r>
      <w:r>
        <w:rPr>
          <w:color w:val="auto"/>
          <w:spacing w:val="-10"/>
        </w:rPr>
        <w:t>元。其中，</w:t>
      </w:r>
      <w:r>
        <w:rPr>
          <w:color w:val="auto"/>
          <w:spacing w:val="-4"/>
        </w:rPr>
        <w:t>主张对债务人的特定财产享有担保权的债权共</w:t>
      </w:r>
      <w:r>
        <w:rPr>
          <w:rFonts w:hint="eastAsia"/>
          <w:color w:val="auto"/>
          <w:lang w:val="en-US" w:eastAsia="zh-CN"/>
        </w:rPr>
        <w:t>3家</w:t>
      </w:r>
      <w:r>
        <w:rPr>
          <w:color w:val="auto"/>
          <w:spacing w:val="-17"/>
        </w:rPr>
        <w:t xml:space="preserve">，申报债权金额为 </w:t>
      </w:r>
      <w:r>
        <w:rPr>
          <w:rFonts w:hint="eastAsia"/>
          <w:color w:val="auto"/>
          <w:lang w:val="en-US" w:eastAsia="zh-CN"/>
        </w:rPr>
        <w:t>68</w:t>
      </w:r>
      <w:r>
        <w:rPr>
          <w:color w:val="auto"/>
        </w:rPr>
        <w:t>,</w:t>
      </w:r>
      <w:r>
        <w:rPr>
          <w:rFonts w:hint="eastAsia"/>
          <w:color w:val="auto"/>
          <w:lang w:val="en-US" w:eastAsia="zh-CN"/>
        </w:rPr>
        <w:t>839</w:t>
      </w:r>
      <w:r>
        <w:rPr>
          <w:color w:val="auto"/>
        </w:rPr>
        <w:t>,</w:t>
      </w:r>
      <w:r>
        <w:rPr>
          <w:rFonts w:hint="eastAsia"/>
          <w:color w:val="auto"/>
          <w:lang w:val="en-US" w:eastAsia="zh-CN"/>
        </w:rPr>
        <w:t>134</w:t>
      </w:r>
      <w:r>
        <w:rPr>
          <w:color w:val="auto"/>
        </w:rPr>
        <w:t>.</w:t>
      </w:r>
      <w:r>
        <w:rPr>
          <w:rFonts w:hint="eastAsia"/>
          <w:color w:val="auto"/>
          <w:lang w:val="en-US" w:eastAsia="zh-CN"/>
        </w:rPr>
        <w:t>7</w:t>
      </w:r>
      <w:r>
        <w:rPr>
          <w:color w:val="auto"/>
        </w:rPr>
        <w:t>7</w:t>
      </w:r>
      <w:r>
        <w:rPr>
          <w:color w:val="auto"/>
          <w:spacing w:val="-11"/>
        </w:rPr>
        <w:t>元；主张享有建筑工程价款优先债</w:t>
      </w:r>
      <w:r>
        <w:rPr>
          <w:color w:val="auto"/>
          <w:spacing w:val="-22"/>
        </w:rPr>
        <w:t xml:space="preserve">权的共 </w:t>
      </w:r>
      <w:r>
        <w:rPr>
          <w:rFonts w:hint="eastAsia"/>
          <w:color w:val="auto"/>
          <w:lang w:val="en-US" w:eastAsia="zh-CN"/>
        </w:rPr>
        <w:t xml:space="preserve">5 </w:t>
      </w:r>
      <w:r>
        <w:rPr>
          <w:color w:val="auto"/>
          <w:spacing w:val="-25"/>
        </w:rPr>
        <w:t xml:space="preserve">户，申报债权金额为 </w:t>
      </w:r>
      <w:r>
        <w:rPr>
          <w:rFonts w:hint="eastAsia"/>
          <w:color w:val="auto"/>
          <w:lang w:val="en-US" w:eastAsia="zh-CN"/>
        </w:rPr>
        <w:t>726</w:t>
      </w:r>
      <w:r>
        <w:rPr>
          <w:color w:val="auto"/>
        </w:rPr>
        <w:t>,</w:t>
      </w:r>
      <w:r>
        <w:rPr>
          <w:rFonts w:hint="eastAsia"/>
          <w:color w:val="auto"/>
          <w:lang w:val="en-US" w:eastAsia="zh-CN"/>
        </w:rPr>
        <w:t>069</w:t>
      </w:r>
      <w:r>
        <w:rPr>
          <w:color w:val="auto"/>
        </w:rPr>
        <w:t>.</w:t>
      </w:r>
      <w:r>
        <w:rPr>
          <w:rFonts w:hint="eastAsia"/>
          <w:color w:val="auto"/>
          <w:lang w:val="en-US" w:eastAsia="zh-CN"/>
        </w:rPr>
        <w:t>78</w:t>
      </w:r>
      <w:r>
        <w:rPr>
          <w:color w:val="auto"/>
          <w:spacing w:val="-3"/>
        </w:rPr>
        <w:t>元;</w:t>
      </w:r>
      <w:r>
        <w:rPr>
          <w:color w:val="auto"/>
          <w:spacing w:val="-8"/>
        </w:rPr>
        <w:t>主张普通债权</w:t>
      </w:r>
      <w:r>
        <w:rPr>
          <w:color w:val="auto"/>
          <w:spacing w:val="-41"/>
          <w:sz w:val="32"/>
        </w:rPr>
        <w:t>共</w:t>
      </w:r>
      <w:r>
        <w:rPr>
          <w:rFonts w:hint="eastAsia"/>
          <w:color w:val="auto"/>
          <w:spacing w:val="-41"/>
          <w:sz w:val="32"/>
          <w:lang w:val="en-US" w:eastAsia="zh-CN"/>
        </w:rPr>
        <w:t xml:space="preserve"> 12 </w:t>
      </w:r>
      <w:r>
        <w:rPr>
          <w:color w:val="auto"/>
          <w:spacing w:val="-17"/>
          <w:sz w:val="32"/>
        </w:rPr>
        <w:t xml:space="preserve">户，申报债权总额为 </w:t>
      </w:r>
      <w:r>
        <w:rPr>
          <w:rFonts w:hint="eastAsia"/>
          <w:color w:val="auto"/>
          <w:sz w:val="32"/>
          <w:lang w:val="en-US" w:eastAsia="zh-CN"/>
        </w:rPr>
        <w:t>140</w:t>
      </w:r>
      <w:r>
        <w:rPr>
          <w:color w:val="auto"/>
          <w:sz w:val="32"/>
        </w:rPr>
        <w:t>,</w:t>
      </w:r>
      <w:r>
        <w:rPr>
          <w:rFonts w:hint="eastAsia"/>
          <w:color w:val="auto"/>
          <w:sz w:val="32"/>
          <w:lang w:val="en-US" w:eastAsia="zh-CN"/>
        </w:rPr>
        <w:t>636</w:t>
      </w:r>
      <w:r>
        <w:rPr>
          <w:color w:val="auto"/>
          <w:sz w:val="32"/>
        </w:rPr>
        <w:t>,3</w:t>
      </w:r>
      <w:r>
        <w:rPr>
          <w:rFonts w:hint="eastAsia"/>
          <w:color w:val="auto"/>
          <w:sz w:val="32"/>
          <w:lang w:val="en-US" w:eastAsia="zh-CN"/>
        </w:rPr>
        <w:t>66</w:t>
      </w:r>
      <w:r>
        <w:rPr>
          <w:color w:val="auto"/>
          <w:sz w:val="32"/>
        </w:rPr>
        <w:t>.2</w:t>
      </w:r>
      <w:r>
        <w:rPr>
          <w:rFonts w:hint="eastAsia"/>
          <w:color w:val="auto"/>
          <w:sz w:val="32"/>
          <w:lang w:val="en-US" w:eastAsia="zh-CN"/>
        </w:rPr>
        <w:t>8</w:t>
      </w:r>
      <w:r>
        <w:rPr>
          <w:color w:val="auto"/>
          <w:spacing w:val="-29"/>
          <w:sz w:val="32"/>
        </w:rPr>
        <w:t>元。</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640" w:firstLineChars="200"/>
        <w:jc w:val="both"/>
        <w:textAlignment w:val="auto"/>
        <w:rPr>
          <w:color w:val="auto"/>
        </w:rPr>
      </w:pPr>
      <w:r>
        <w:rPr>
          <w:color w:val="auto"/>
        </w:rPr>
        <w:t>管理人收到债权申报材料后，对申报的债权登记造册，并逐一进行了审查，审查后编制了债权表。</w:t>
      </w:r>
      <w:r>
        <w:rPr>
          <w:color w:val="auto"/>
          <w:spacing w:val="-17"/>
        </w:rPr>
        <w:t>对编入债权表内的债权，管理人认为成立的共</w:t>
      </w:r>
      <w:r>
        <w:rPr>
          <w:rFonts w:hint="eastAsia"/>
          <w:color w:val="auto"/>
          <w:spacing w:val="-17"/>
          <w:lang w:val="en-US" w:eastAsia="zh-CN"/>
        </w:rPr>
        <w:t>17</w:t>
      </w:r>
      <w:r>
        <w:rPr>
          <w:rFonts w:hint="eastAsia"/>
          <w:color w:val="auto"/>
          <w:spacing w:val="-30"/>
          <w:lang w:val="en-US" w:eastAsia="zh-CN"/>
        </w:rPr>
        <w:t>家</w:t>
      </w:r>
      <w:r>
        <w:rPr>
          <w:color w:val="auto"/>
          <w:spacing w:val="-30"/>
        </w:rPr>
        <w:t>，</w:t>
      </w:r>
      <w:r>
        <w:rPr>
          <w:color w:val="auto"/>
          <w:spacing w:val="-13"/>
        </w:rPr>
        <w:t>总额为人民币</w:t>
      </w:r>
      <w:r>
        <w:rPr>
          <w:rFonts w:hint="eastAsia"/>
          <w:color w:val="auto"/>
          <w:spacing w:val="-13"/>
          <w:lang w:val="en-US" w:eastAsia="zh-CN"/>
        </w:rPr>
        <w:t xml:space="preserve"> 172,252,091.38</w:t>
      </w:r>
      <w:r>
        <w:rPr>
          <w:color w:val="auto"/>
          <w:spacing w:val="-11"/>
        </w:rPr>
        <w:t>元。其中，对债务人的特定</w:t>
      </w:r>
      <w:r>
        <w:rPr>
          <w:rFonts w:hint="eastAsia"/>
          <w:color w:val="auto"/>
          <w:spacing w:val="-11"/>
          <w:lang w:val="en-US" w:eastAsia="zh-CN"/>
        </w:rPr>
        <w:t>财</w:t>
      </w:r>
      <w:r>
        <w:rPr>
          <w:color w:val="auto"/>
          <w:spacing w:val="-7"/>
        </w:rPr>
        <w:t>产享有担保权的债权共</w:t>
      </w:r>
      <w:r>
        <w:rPr>
          <w:rFonts w:hint="eastAsia"/>
          <w:color w:val="auto"/>
          <w:lang w:val="en-US" w:eastAsia="zh-CN"/>
        </w:rPr>
        <w:t>2家</w:t>
      </w:r>
      <w:r>
        <w:rPr>
          <w:color w:val="auto"/>
          <w:spacing w:val="-16"/>
        </w:rPr>
        <w:t xml:space="preserve">，总额为人民币 </w:t>
      </w:r>
      <w:r>
        <w:rPr>
          <w:color w:val="auto"/>
        </w:rPr>
        <w:t>4</w:t>
      </w:r>
      <w:r>
        <w:rPr>
          <w:rFonts w:hint="eastAsia"/>
          <w:color w:val="auto"/>
          <w:lang w:val="en-US" w:eastAsia="zh-CN"/>
        </w:rPr>
        <w:t>6</w:t>
      </w:r>
      <w:r>
        <w:rPr>
          <w:color w:val="auto"/>
        </w:rPr>
        <w:t>,</w:t>
      </w:r>
      <w:r>
        <w:rPr>
          <w:rFonts w:hint="eastAsia"/>
          <w:color w:val="auto"/>
          <w:lang w:val="en-US" w:eastAsia="zh-CN"/>
        </w:rPr>
        <w:t>202</w:t>
      </w:r>
      <w:r>
        <w:rPr>
          <w:color w:val="auto"/>
        </w:rPr>
        <w:t>,</w:t>
      </w:r>
      <w:r>
        <w:rPr>
          <w:rFonts w:hint="eastAsia"/>
          <w:color w:val="auto"/>
          <w:lang w:val="en-US" w:eastAsia="zh-CN"/>
        </w:rPr>
        <w:t>075</w:t>
      </w:r>
      <w:r>
        <w:rPr>
          <w:color w:val="auto"/>
        </w:rPr>
        <w:t>.</w:t>
      </w:r>
      <w:r>
        <w:rPr>
          <w:rFonts w:hint="eastAsia"/>
          <w:color w:val="auto"/>
          <w:lang w:val="en-US" w:eastAsia="zh-CN"/>
        </w:rPr>
        <w:t>87</w:t>
      </w:r>
      <w:r>
        <w:rPr>
          <w:color w:val="auto"/>
          <w:spacing w:val="-11"/>
        </w:rPr>
        <w:t>元；普通债权共</w:t>
      </w:r>
      <w:r>
        <w:rPr>
          <w:rFonts w:hint="eastAsia"/>
          <w:color w:val="auto"/>
          <w:spacing w:val="-11"/>
          <w:lang w:val="en-US" w:eastAsia="zh-CN"/>
        </w:rPr>
        <w:t>15</w:t>
      </w:r>
      <w:r>
        <w:rPr>
          <w:rFonts w:hint="eastAsia"/>
          <w:color w:val="auto"/>
          <w:lang w:val="en-US" w:eastAsia="zh-CN"/>
        </w:rPr>
        <w:t>家</w:t>
      </w:r>
      <w:r>
        <w:rPr>
          <w:color w:val="auto"/>
        </w:rPr>
        <w:t xml:space="preserve">，总额为人民币 </w:t>
      </w:r>
      <w:r>
        <w:rPr>
          <w:rFonts w:hint="eastAsia"/>
          <w:color w:val="auto"/>
        </w:rPr>
        <w:t>126,050,015.51</w:t>
      </w:r>
      <w:r>
        <w:rPr>
          <w:color w:val="auto"/>
        </w:rPr>
        <w:t>元。</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660" w:firstLineChars="200"/>
        <w:jc w:val="both"/>
        <w:textAlignment w:val="auto"/>
        <w:rPr>
          <w:color w:val="auto"/>
        </w:rPr>
      </w:pPr>
      <w:r>
        <w:rPr>
          <w:color w:val="auto"/>
          <w:spacing w:val="13"/>
          <w:w w:val="95"/>
        </w:rPr>
        <w:t>对编入债权表内的债权，因</w:t>
      </w:r>
      <w:r>
        <w:rPr>
          <w:rFonts w:hint="eastAsia"/>
          <w:color w:val="auto"/>
          <w:spacing w:val="13"/>
          <w:w w:val="95"/>
          <w:lang w:val="en-US" w:eastAsia="zh-CN"/>
        </w:rPr>
        <w:t>涉及诉讼及</w:t>
      </w:r>
      <w:r>
        <w:rPr>
          <w:color w:val="auto"/>
          <w:spacing w:val="13"/>
          <w:w w:val="95"/>
        </w:rPr>
        <w:t>补充证据等原</w:t>
      </w:r>
      <w:r>
        <w:rPr>
          <w:color w:val="auto"/>
          <w:spacing w:val="-6"/>
        </w:rPr>
        <w:t>因，</w:t>
      </w:r>
      <w:r>
        <w:rPr>
          <w:rFonts w:hint="eastAsia"/>
          <w:color w:val="auto"/>
          <w:spacing w:val="-6"/>
          <w:lang w:val="en-US" w:eastAsia="zh-CN"/>
        </w:rPr>
        <w:t>管理人暂缓认定的共3家，</w:t>
      </w:r>
      <w:r>
        <w:rPr>
          <w:color w:val="auto"/>
          <w:spacing w:val="-14"/>
        </w:rPr>
        <w:t>暂</w:t>
      </w:r>
      <w:r>
        <w:rPr>
          <w:color w:val="auto"/>
          <w:spacing w:val="-2"/>
        </w:rPr>
        <w:t>缓认定的</w:t>
      </w:r>
      <w:r>
        <w:rPr>
          <w:rFonts w:hint="eastAsia"/>
          <w:color w:val="auto"/>
          <w:spacing w:val="-2"/>
          <w:lang w:val="en-US" w:eastAsia="zh-CN"/>
        </w:rPr>
        <w:t>3家</w:t>
      </w:r>
      <w:r>
        <w:rPr>
          <w:color w:val="auto"/>
          <w:spacing w:val="-2"/>
        </w:rPr>
        <w:t xml:space="preserve">债权申报总额为 </w:t>
      </w:r>
      <w:r>
        <w:rPr>
          <w:rFonts w:hint="eastAsia"/>
          <w:color w:val="auto"/>
          <w:lang w:val="en-US" w:eastAsia="zh-CN"/>
        </w:rPr>
        <w:t>30,665,669.78</w:t>
      </w:r>
      <w:r>
        <w:rPr>
          <w:color w:val="auto"/>
          <w:spacing w:val="-6"/>
        </w:rPr>
        <w:t>元。</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636" w:firstLineChars="200"/>
        <w:jc w:val="both"/>
        <w:textAlignment w:val="auto"/>
        <w:rPr>
          <w:color w:val="auto"/>
        </w:rPr>
      </w:pPr>
      <w:r>
        <w:rPr>
          <w:rFonts w:hint="eastAsia"/>
          <w:color w:val="auto"/>
          <w:spacing w:val="-1"/>
          <w:lang w:eastAsia="zh-CN"/>
        </w:rPr>
        <w:t>华立</w:t>
      </w:r>
      <w:bookmarkStart w:id="0" w:name="_GoBack"/>
      <w:bookmarkEnd w:id="0"/>
      <w:r>
        <w:rPr>
          <w:color w:val="auto"/>
          <w:spacing w:val="-1"/>
        </w:rPr>
        <w:t>公司职工在破产受理前已经离职，且</w:t>
      </w:r>
      <w:r>
        <w:rPr>
          <w:rFonts w:hint="eastAsia"/>
          <w:color w:val="auto"/>
          <w:spacing w:val="-1"/>
          <w:lang w:val="en-US" w:eastAsia="zh-CN"/>
        </w:rPr>
        <w:t>无</w:t>
      </w:r>
      <w:r>
        <w:rPr>
          <w:color w:val="auto"/>
          <w:spacing w:val="-1"/>
        </w:rPr>
        <w:t>欠发</w:t>
      </w:r>
      <w:r>
        <w:rPr>
          <w:color w:val="auto"/>
          <w:spacing w:val="11"/>
          <w:w w:val="95"/>
        </w:rPr>
        <w:t>工资</w:t>
      </w:r>
      <w:r>
        <w:rPr>
          <w:color w:val="auto"/>
          <w:spacing w:val="11"/>
        </w:rPr>
        <w:t>。</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640" w:firstLineChars="200"/>
        <w:jc w:val="both"/>
        <w:textAlignment w:val="auto"/>
        <w:rPr>
          <w:color w:val="auto"/>
        </w:rPr>
      </w:pPr>
      <w:r>
        <w:rPr>
          <w:color w:val="auto"/>
        </w:rPr>
        <w:t>现根据《中华人民共和国企业破产法》第五十八条第一款之规定，将债权表提交第一次债权人会议核查。债权人若对债权表记载的债权有异议的，债权人可自债权人会议后十五日内向管理人提出异议，并附相关证据材料；经管理人解释或调整后，异议人仍然不服的，或者管理人不予解释或调整的，异议人应当在债权人会议核查结束后十五日内向人民法院提起债权确认的诉讼。当事人之间在破产申请受理前订立有仲裁条款或仲裁协议的，应当向选定的仲裁机构申请确认债权债务关系。</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640" w:firstLineChars="200"/>
        <w:jc w:val="both"/>
        <w:textAlignment w:val="auto"/>
        <w:rPr>
          <w:color w:val="auto"/>
        </w:rPr>
      </w:pPr>
      <w:r>
        <w:rPr>
          <w:color w:val="auto"/>
        </w:rPr>
        <w:t>特此报告。</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color w:val="auto"/>
        </w:rPr>
      </w:pP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color w:val="auto"/>
        </w:rPr>
      </w:pP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right="0" w:firstLine="3520" w:firstLineChars="1100"/>
        <w:jc w:val="both"/>
        <w:textAlignment w:val="auto"/>
        <w:rPr>
          <w:color w:val="auto"/>
        </w:rPr>
      </w:pPr>
      <w:r>
        <w:rPr>
          <w:color w:val="auto"/>
        </w:rPr>
        <w:t>威海</w:t>
      </w:r>
      <w:r>
        <w:rPr>
          <w:rFonts w:hint="eastAsia"/>
          <w:color w:val="auto"/>
          <w:lang w:eastAsia="zh-CN"/>
        </w:rPr>
        <w:t>华立</w:t>
      </w:r>
      <w:r>
        <w:rPr>
          <w:color w:val="auto"/>
        </w:rPr>
        <w:t>房地产开发有限公司管理人</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480" w:firstLineChars="1400"/>
        <w:jc w:val="both"/>
        <w:textAlignment w:val="auto"/>
        <w:rPr>
          <w:color w:val="auto"/>
        </w:rPr>
      </w:pPr>
      <w:r>
        <w:rPr>
          <w:color w:val="auto"/>
        </w:rPr>
        <w:t>二〇二</w:t>
      </w:r>
      <w:r>
        <w:rPr>
          <w:rFonts w:hint="eastAsia"/>
          <w:color w:val="auto"/>
          <w:lang w:val="en-US" w:eastAsia="zh-CN"/>
        </w:rPr>
        <w:t>一</w:t>
      </w:r>
      <w:r>
        <w:rPr>
          <w:color w:val="auto"/>
        </w:rPr>
        <w:t>年</w:t>
      </w:r>
      <w:r>
        <w:rPr>
          <w:rFonts w:hint="eastAsia"/>
          <w:color w:val="auto"/>
          <w:lang w:val="en-US" w:eastAsia="zh-CN"/>
        </w:rPr>
        <w:t>四</w:t>
      </w:r>
      <w:r>
        <w:rPr>
          <w:color w:val="auto"/>
        </w:rPr>
        <w:t>月</w:t>
      </w:r>
      <w:r>
        <w:rPr>
          <w:rFonts w:hint="eastAsia"/>
          <w:color w:val="auto"/>
          <w:lang w:val="en-US" w:eastAsia="zh-CN"/>
        </w:rPr>
        <w:t>六</w:t>
      </w:r>
      <w:r>
        <w:rPr>
          <w:color w:val="auto"/>
        </w:rPr>
        <w:t>日</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color w:val="auto"/>
          <w:sz w:val="13"/>
        </w:rPr>
      </w:pPr>
    </w:p>
    <w:sectPr>
      <w:pgSz w:w="11910" w:h="16840"/>
      <w:pgMar w:top="1701" w:right="1417" w:bottom="1701" w:left="1417"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useFELayout/>
    <w:compatSetting w:name="compatibilityMode" w:uri="http://schemas.microsoft.com/office/word" w:val="12"/>
  </w:compat>
  <w:rsids>
    <w:rsidRoot w:val="00000000"/>
    <w:rsid w:val="01997C3D"/>
    <w:rsid w:val="0A500AFD"/>
    <w:rsid w:val="0C20362A"/>
    <w:rsid w:val="2B200B1C"/>
    <w:rsid w:val="48E93C58"/>
    <w:rsid w:val="559A6C65"/>
    <w:rsid w:val="786B793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 w:hAnsi="仿宋" w:eastAsia="仿宋" w:cs="仿宋"/>
      <w:sz w:val="22"/>
      <w:szCs w:val="22"/>
      <w:lang w:val="zh-CN" w:eastAsia="zh-CN" w:bidi="zh-CN"/>
    </w:rPr>
  </w:style>
  <w:style w:type="character" w:default="1" w:styleId="4">
    <w:name w:val="Default Paragraph Font"/>
    <w:semiHidden/>
    <w:unhideWhenUsed/>
    <w:qFormat/>
    <w:uiPriority w:val="1"/>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ind w:left="115"/>
    </w:pPr>
    <w:rPr>
      <w:rFonts w:ascii="仿宋" w:hAnsi="仿宋" w:eastAsia="仿宋" w:cs="仿宋"/>
      <w:sz w:val="32"/>
      <w:szCs w:val="32"/>
      <w:lang w:val="zh-CN" w:eastAsia="zh-CN" w:bidi="zh-CN"/>
    </w:rPr>
  </w:style>
  <w:style w:type="table" w:customStyle="1" w:styleId="5">
    <w:name w:val="Table Normal"/>
    <w:semiHidden/>
    <w:unhideWhenUsed/>
    <w:qFormat/>
    <w:uiPriority w:val="2"/>
    <w:tblPr>
      <w:tblCellMar>
        <w:top w:w="0" w:type="dxa"/>
        <w:left w:w="0" w:type="dxa"/>
        <w:bottom w:w="0" w:type="dxa"/>
        <w:right w:w="0" w:type="dxa"/>
      </w:tblCellMar>
    </w:tblPr>
  </w:style>
  <w:style w:type="paragraph" w:styleId="6">
    <w:name w:val="List Paragraph"/>
    <w:basedOn w:val="1"/>
    <w:qFormat/>
    <w:uiPriority w:val="1"/>
    <w:rPr>
      <w:lang w:val="zh-CN" w:eastAsia="zh-CN" w:bidi="zh-CN"/>
    </w:rPr>
  </w:style>
  <w:style w:type="paragraph" w:customStyle="1" w:styleId="7">
    <w:name w:val="Table Paragraph"/>
    <w:basedOn w:val="1"/>
    <w:qFormat/>
    <w:uiPriority w:val="1"/>
    <w:rPr>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ScaleCrop>false</ScaleCrop>
  <LinksUpToDate>false</LinksUpToDate>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2021-03-31T06:23:00Z</dcterms:created>
  <dc:creator>giantlion</dc:creator>
  <cp:lastModifiedBy>侯登辉</cp:lastModifiedBy>
  <cp:lastPrinted>2021-04-05T03:42:52Z</cp:lastPrinted>
  <dcterms:modified xsi:type="dcterms:W3CDTF">2021-04-05T03:42:59Z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2020-10-12T00:00:00Z</vt:filetime>
  </property>
  <property fmtid="{D5CDD505-2E9C-101B-9397-08002B2CF9AE}" pid="3" name="Creator">
    <vt:lpwstr>WPS 文字</vt:lpwstr>
  </property>
  <property fmtid="{D5CDD505-2E9C-101B-9397-08002B2CF9AE}" pid="4" name="LastSaved">
    <vt:filetime>2021-03-31T00:00:00Z</vt:filetime>
  </property>
  <property fmtid="{D5CDD505-2E9C-101B-9397-08002B2CF9AE}" pid="5" name="KSOProductBuildVer">
    <vt:lpwstr>2052-11.1.0.10356</vt:lpwstr>
  </property>
  <property fmtid="{D5CDD505-2E9C-101B-9397-08002B2CF9AE}" pid="6" name="ICV">
    <vt:lpwstr>009BF34CF7824E2FA5946295A44645B8</vt:lpwstr>
  </property>
</Properties>
</file>