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ascii="华文中宋" w:hAnsi="华文中宋" w:eastAsia="华文中宋"/>
          <w:sz w:val="44"/>
          <w:szCs w:val="44"/>
        </w:rPr>
      </w:pPr>
      <w:r>
        <w:rPr>
          <w:rFonts w:hint="eastAsia" w:ascii="华文中宋" w:hAnsi="华文中宋" w:eastAsia="华文中宋"/>
          <w:sz w:val="44"/>
          <w:szCs w:val="44"/>
        </w:rPr>
        <w:t>沧州市华兴置业房地产开发有限公司</w:t>
      </w:r>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rPr>
        <w:t>债权申报须知</w:t>
      </w:r>
    </w:p>
    <w:p>
      <w:pPr>
        <w:spacing w:line="48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沧州市中级人民法院于2023年1月4日作出（2022）冀09破申21号民事裁定书，裁定受理河北方泽建筑工程集团有限公司对沧州市华兴置业房地产开发有限公司的重整申请。2023年5月8日，沧州市中级人民法院将案件移送新华区人民法院审理。2023年8月4日，新华区人民法院作出（2023）冀0902破1号决定书，指定沧州市华兴置业房地产开发有限公司破产清算组担任沧州市华兴置业房地产开发有限公司管理人。为使债权人了解债权申报程序，保证债权申报工作的顺利进行，管理人就债权申报相关事宜说明如下： </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一、债权申报主体</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人民法院受理破产</w:t>
      </w:r>
      <w:r>
        <w:rPr>
          <w:rFonts w:ascii="仿宋" w:hAnsi="仿宋" w:eastAsia="仿宋"/>
          <w:sz w:val="32"/>
          <w:szCs w:val="32"/>
        </w:rPr>
        <w:t>重整</w:t>
      </w:r>
      <w:r>
        <w:rPr>
          <w:rFonts w:hint="eastAsia" w:ascii="仿宋" w:hAnsi="仿宋" w:eastAsia="仿宋"/>
          <w:sz w:val="32"/>
          <w:szCs w:val="32"/>
        </w:rPr>
        <w:t>申请时（2023年1月4日）对债务人享有债权的债权人(含购房人)，均可以向管理人申报权益。未到期的债权，自破产</w:t>
      </w:r>
      <w:r>
        <w:rPr>
          <w:rFonts w:ascii="仿宋" w:hAnsi="仿宋" w:eastAsia="仿宋"/>
          <w:sz w:val="32"/>
          <w:szCs w:val="32"/>
        </w:rPr>
        <w:t>重整</w:t>
      </w:r>
      <w:r>
        <w:rPr>
          <w:rFonts w:hint="eastAsia" w:ascii="仿宋" w:hAnsi="仿宋" w:eastAsia="仿宋"/>
          <w:sz w:val="32"/>
          <w:szCs w:val="32"/>
        </w:rPr>
        <w:t>申请受理时视为到期，债权人可以向管理人申报；附条件、附期限的债权和诉讼、仲裁未决的债权，债权人可以向管理人申报。</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二、债权申报期限</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根据人民法院确定的债权申报期，债权人应在2023年10月13日前向管理人申报债权。申报时间为申报期间内每个工作日的8:30-11：30、14：30-17:00，其他时间不受理债权申报及咨询。逾期申报的，应当依法承担逾期申报的后果，在重整计划执行期间不得行使权利。为审查和确认逾期补充申报债权的费用，由补充申报人承担。</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三、债权申报材料</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申报债权应当如实、详细填写债权申报文书并提供完整真实有效的申报材料，如下：</w:t>
      </w:r>
    </w:p>
    <w:p>
      <w:pPr>
        <w:spacing w:line="440" w:lineRule="exact"/>
        <w:ind w:firstLine="640" w:firstLineChars="200"/>
        <w:rPr>
          <w:rFonts w:ascii="仿宋" w:hAnsi="仿宋" w:eastAsia="仿宋"/>
          <w:sz w:val="32"/>
          <w:szCs w:val="32"/>
        </w:rPr>
      </w:pPr>
      <w:r>
        <w:rPr>
          <w:rFonts w:hint="eastAsia" w:ascii="仿宋" w:hAnsi="仿宋" w:eastAsia="仿宋"/>
          <w:sz w:val="32"/>
          <w:szCs w:val="32"/>
          <w:u w:val="single"/>
        </w:rPr>
        <w:t>1、</w:t>
      </w:r>
      <w:r>
        <w:rPr>
          <w:rFonts w:hint="eastAsia" w:ascii="仿宋" w:hAnsi="仿宋" w:eastAsia="仿宋"/>
          <w:b/>
          <w:bCs/>
          <w:sz w:val="32"/>
          <w:szCs w:val="32"/>
          <w:u w:val="single"/>
        </w:rPr>
        <w:t>《债权申报文件清单》、《非/购房债权申报表》、《申报人地址及联系方式确认书》</w:t>
      </w:r>
      <w:r>
        <w:rPr>
          <w:rFonts w:hint="eastAsia" w:ascii="仿宋" w:hAnsi="仿宋" w:eastAsia="仿宋"/>
          <w:sz w:val="32"/>
          <w:szCs w:val="32"/>
          <w:u w:val="single"/>
        </w:rPr>
        <w:t>。</w:t>
      </w:r>
      <w:r>
        <w:rPr>
          <w:rFonts w:hint="eastAsia" w:ascii="仿宋" w:hAnsi="仿宋" w:eastAsia="仿宋"/>
          <w:sz w:val="32"/>
          <w:szCs w:val="32"/>
        </w:rPr>
        <w:t>申报人除填写《非/购房债权申报表》之外，还可以向管理人提交情况说明，对申报内容进行说明；</w:t>
      </w:r>
      <w:r>
        <w:rPr>
          <w:rFonts w:hint="eastAsia" w:ascii="仿宋" w:hAnsi="仿宋" w:eastAsia="仿宋"/>
          <w:b/>
          <w:bCs/>
          <w:sz w:val="32"/>
          <w:szCs w:val="32"/>
          <w:u w:val="single"/>
        </w:rPr>
        <w:t>申报人申报的利息及实际损失等债权，需附相关计算清单</w:t>
      </w:r>
      <w:r>
        <w:rPr>
          <w:rFonts w:hint="eastAsia" w:ascii="仿宋" w:hAnsi="仿宋" w:eastAsia="仿宋"/>
          <w:sz w:val="32"/>
          <w:szCs w:val="32"/>
        </w:rPr>
        <w:t>，说明计算依据与过程。申报信息填写应准确，大小写不一致的以大写为准，总额、分项不一致的以总额为准。</w:t>
      </w:r>
      <w:r>
        <w:rPr>
          <w:rFonts w:hint="eastAsia" w:ascii="仿宋" w:hAnsi="仿宋" w:eastAsia="仿宋"/>
          <w:b/>
          <w:bCs/>
          <w:sz w:val="32"/>
          <w:szCs w:val="32"/>
        </w:rPr>
        <w:t>《非/购房债权申报表》中的“债权申报编号”由管理人统一排序填写。</w:t>
      </w:r>
    </w:p>
    <w:p>
      <w:pPr>
        <w:spacing w:line="440" w:lineRule="exact"/>
        <w:ind w:firstLine="643" w:firstLineChars="200"/>
        <w:rPr>
          <w:rFonts w:ascii="仿宋" w:hAnsi="仿宋" w:eastAsia="仿宋"/>
          <w:sz w:val="32"/>
          <w:szCs w:val="32"/>
        </w:rPr>
      </w:pPr>
      <w:r>
        <w:rPr>
          <w:rFonts w:hint="eastAsia" w:ascii="仿宋" w:hAnsi="仿宋" w:eastAsia="仿宋"/>
          <w:b/>
          <w:bCs/>
          <w:sz w:val="32"/>
          <w:szCs w:val="32"/>
          <w:u w:val="single"/>
        </w:rPr>
        <w:t>2、申报人身份证明及授权委托文件。</w:t>
      </w:r>
      <w:r>
        <w:rPr>
          <w:rFonts w:hint="eastAsia" w:ascii="仿宋" w:hAnsi="仿宋" w:eastAsia="仿宋"/>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hint="eastAsia" w:ascii="仿宋" w:hAnsi="仿宋" w:eastAsia="仿宋"/>
          <w:b/>
          <w:bCs/>
          <w:sz w:val="32"/>
          <w:szCs w:val="32"/>
          <w:u w:val="single"/>
        </w:rPr>
        <w:t>现场亲笔签名</w:t>
      </w:r>
      <w:r>
        <w:rPr>
          <w:rFonts w:hint="eastAsia" w:ascii="仿宋" w:hAnsi="仿宋" w:eastAsia="仿宋"/>
          <w:sz w:val="32"/>
          <w:szCs w:val="32"/>
        </w:rPr>
        <w:t>并捺印的授权委托书或公证委托书；单位委托本单位职工代理的，应当提供代理人与委托人存在劳动关系的证明及劳动合同复印件。</w:t>
      </w:r>
    </w:p>
    <w:p>
      <w:pPr>
        <w:spacing w:line="440" w:lineRule="exact"/>
        <w:ind w:firstLine="643" w:firstLineChars="200"/>
        <w:rPr>
          <w:rFonts w:ascii="仿宋" w:hAnsi="仿宋" w:eastAsia="仿宋"/>
          <w:sz w:val="32"/>
          <w:szCs w:val="32"/>
        </w:rPr>
      </w:pPr>
      <w:r>
        <w:rPr>
          <w:rFonts w:hint="eastAsia" w:ascii="仿宋" w:hAnsi="仿宋" w:eastAsia="仿宋"/>
          <w:b/>
          <w:bCs/>
          <w:sz w:val="32"/>
          <w:szCs w:val="32"/>
          <w:u w:val="single"/>
        </w:rPr>
        <w:t>3、证明债权事实的相关证据材料。申报人申报债权时，应当书面说明债权的数额和有无财产担保并提交有关证据。申报的债权是连带债权的，应当说明。</w:t>
      </w:r>
      <w:r>
        <w:rPr>
          <w:rFonts w:hint="eastAsia" w:ascii="仿宋" w:hAnsi="仿宋" w:eastAsia="仿宋"/>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hint="eastAsia" w:ascii="仿宋" w:hAnsi="仿宋" w:eastAsia="仿宋"/>
          <w:b/>
          <w:bCs/>
          <w:sz w:val="32"/>
          <w:szCs w:val="32"/>
          <w:u w:val="single"/>
        </w:rPr>
        <w:t>（如有建设工程价款优先受偿权、抵押权等优先权，但在申报时未明确提出，管理人将视其放弃优先权，对申报人的优先权不予认定）</w:t>
      </w:r>
      <w:r>
        <w:rPr>
          <w:rFonts w:hint="eastAsia" w:ascii="仿宋" w:hAnsi="仿宋" w:eastAsia="仿宋"/>
          <w:sz w:val="32"/>
          <w:szCs w:val="32"/>
          <w:u w:val="single"/>
        </w:rPr>
        <w:t>；</w:t>
      </w:r>
      <w:r>
        <w:rPr>
          <w:rFonts w:hint="eastAsia" w:ascii="仿宋" w:hAnsi="仿宋" w:eastAsia="仿宋"/>
          <w:sz w:val="32"/>
          <w:szCs w:val="32"/>
        </w:rPr>
        <w:t>相关权利已经得到生效的裁判文书或仲裁裁决书确认的，应当提交相关法律文书；申报人申报的债权还有其他债务人的，应当说明其他债务人义务的履行情况。</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四、提交资料注意事项</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1、申报债权的金额必须确定（</w:t>
      </w:r>
      <w:r>
        <w:rPr>
          <w:rFonts w:hint="eastAsia" w:ascii="仿宋" w:hAnsi="仿宋" w:eastAsia="仿宋"/>
          <w:b/>
          <w:bCs/>
          <w:sz w:val="32"/>
          <w:szCs w:val="32"/>
          <w:u w:val="single"/>
        </w:rPr>
        <w:t>同一位</w:t>
      </w:r>
      <w:r>
        <w:rPr>
          <w:rFonts w:ascii="仿宋" w:hAnsi="仿宋" w:eastAsia="仿宋"/>
          <w:b/>
          <w:bCs/>
          <w:sz w:val="32"/>
          <w:szCs w:val="32"/>
          <w:u w:val="single"/>
        </w:rPr>
        <w:t>债权人</w:t>
      </w:r>
      <w:r>
        <w:rPr>
          <w:rFonts w:hint="eastAsia" w:ascii="仿宋" w:hAnsi="仿宋" w:eastAsia="仿宋"/>
          <w:b/>
          <w:bCs/>
          <w:sz w:val="32"/>
          <w:szCs w:val="32"/>
          <w:u w:val="single"/>
        </w:rPr>
        <w:t>只能申报一个债权总额</w:t>
      </w:r>
      <w:r>
        <w:rPr>
          <w:rFonts w:hint="eastAsia" w:ascii="仿宋" w:hAnsi="仿宋" w:eastAsia="仿宋"/>
          <w:sz w:val="32"/>
          <w:szCs w:val="32"/>
        </w:rPr>
        <w:t>），外币必须转换成人民币计值，汇率以</w:t>
      </w:r>
      <w:bookmarkStart w:id="1" w:name="_GoBack"/>
      <w:r>
        <w:rPr>
          <w:rFonts w:hint="eastAsia" w:ascii="仿宋" w:hAnsi="仿宋" w:eastAsia="仿宋"/>
          <w:b/>
          <w:bCs/>
          <w:sz w:val="32"/>
          <w:szCs w:val="32"/>
          <w:u w:val="single"/>
        </w:rPr>
        <w:t>破产</w:t>
      </w:r>
      <w:r>
        <w:rPr>
          <w:rFonts w:ascii="仿宋" w:hAnsi="仿宋" w:eastAsia="仿宋"/>
          <w:b/>
          <w:bCs/>
          <w:sz w:val="32"/>
          <w:szCs w:val="32"/>
          <w:u w:val="single"/>
        </w:rPr>
        <w:t>重整</w:t>
      </w:r>
      <w:r>
        <w:rPr>
          <w:rFonts w:hint="eastAsia" w:ascii="仿宋" w:hAnsi="仿宋" w:eastAsia="仿宋"/>
          <w:b/>
          <w:bCs/>
          <w:sz w:val="32"/>
          <w:szCs w:val="32"/>
          <w:u w:val="single"/>
        </w:rPr>
        <w:t>申请受理日即</w:t>
      </w:r>
      <w:r>
        <w:rPr>
          <w:rFonts w:ascii="仿宋" w:hAnsi="仿宋" w:eastAsia="仿宋"/>
          <w:b/>
          <w:bCs/>
          <w:sz w:val="32"/>
          <w:szCs w:val="32"/>
          <w:u w:val="single"/>
        </w:rPr>
        <w:t>2023年1月4日</w:t>
      </w:r>
      <w:bookmarkEnd w:id="1"/>
      <w:r>
        <w:rPr>
          <w:rFonts w:hint="eastAsia" w:ascii="仿宋" w:hAnsi="仿宋" w:eastAsia="仿宋"/>
          <w:sz w:val="32"/>
          <w:szCs w:val="32"/>
        </w:rPr>
        <w:t>人民银行公布的市场交易中间价为准（并请提交银行出具的汇率证明）。同时注意以下几点：</w:t>
      </w:r>
      <w:r>
        <w:rPr>
          <w:rFonts w:hint="eastAsia" w:ascii="仿宋" w:hAnsi="仿宋" w:eastAsia="仿宋"/>
          <w:sz w:val="32"/>
          <w:szCs w:val="32"/>
        </w:rPr>
        <w:fldChar w:fldCharType="begin"/>
      </w:r>
      <w:r>
        <w:rPr>
          <w:rFonts w:hint="eastAsia" w:ascii="仿宋" w:hAnsi="仿宋" w:eastAsia="仿宋"/>
          <w:sz w:val="32"/>
          <w:szCs w:val="32"/>
        </w:rPr>
        <w:instrText xml:space="preserve"> = 1 \* GB3 \* MERGEFORMAT </w:instrText>
      </w:r>
      <w:r>
        <w:rPr>
          <w:rFonts w:hint="eastAsia" w:ascii="仿宋" w:hAnsi="仿宋" w:eastAsia="仿宋"/>
          <w:sz w:val="32"/>
          <w:szCs w:val="32"/>
        </w:rPr>
        <w:fldChar w:fldCharType="separate"/>
      </w:r>
      <w:r>
        <w:rPr>
          <w:rFonts w:hint="eastAsia" w:ascii="仿宋" w:hAnsi="仿宋" w:eastAsia="仿宋"/>
          <w:sz w:val="32"/>
          <w:szCs w:val="32"/>
        </w:rPr>
        <w:t>①</w:t>
      </w:r>
      <w:r>
        <w:rPr>
          <w:rFonts w:hint="eastAsia" w:ascii="仿宋" w:hAnsi="仿宋" w:eastAsia="仿宋"/>
          <w:sz w:val="32"/>
          <w:szCs w:val="32"/>
        </w:rPr>
        <w:fldChar w:fldCharType="end"/>
      </w:r>
      <w:r>
        <w:rPr>
          <w:rFonts w:hint="eastAsia" w:ascii="仿宋" w:hAnsi="仿宋" w:eastAsia="仿宋"/>
          <w:sz w:val="32"/>
          <w:szCs w:val="32"/>
        </w:rPr>
        <w:t>未到期的债权，在破产申请受理时视为到期；②附利息的债权，自破产申请受理时停止计息；③附条件、附期限的债权和诉讼、仲裁未决的债权，债权人可以申报。</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2、利息：根据《企业破产法》第46条第2款之规定，</w:t>
      </w:r>
      <w:r>
        <w:rPr>
          <w:rFonts w:hint="eastAsia" w:ascii="仿宋" w:hAnsi="仿宋" w:eastAsia="仿宋"/>
          <w:b/>
          <w:bCs/>
          <w:sz w:val="32"/>
          <w:szCs w:val="32"/>
          <w:u w:val="single"/>
        </w:rPr>
        <w:t>利息计算截止日期为破产</w:t>
      </w:r>
      <w:r>
        <w:rPr>
          <w:rFonts w:ascii="仿宋" w:hAnsi="仿宋" w:eastAsia="仿宋"/>
          <w:b/>
          <w:bCs/>
          <w:sz w:val="32"/>
          <w:szCs w:val="32"/>
          <w:u w:val="single"/>
        </w:rPr>
        <w:t>重整</w:t>
      </w:r>
      <w:r>
        <w:rPr>
          <w:rFonts w:hint="eastAsia" w:ascii="仿宋" w:hAnsi="仿宋" w:eastAsia="仿宋"/>
          <w:b/>
          <w:bCs/>
          <w:sz w:val="32"/>
          <w:szCs w:val="32"/>
          <w:u w:val="single"/>
        </w:rPr>
        <w:t>申请受理日即202</w:t>
      </w:r>
      <w:r>
        <w:rPr>
          <w:rFonts w:ascii="仿宋" w:hAnsi="仿宋" w:eastAsia="仿宋"/>
          <w:b/>
          <w:bCs/>
          <w:sz w:val="32"/>
          <w:szCs w:val="32"/>
          <w:u w:val="single"/>
        </w:rPr>
        <w:t>3</w:t>
      </w:r>
      <w:r>
        <w:rPr>
          <w:rFonts w:hint="eastAsia" w:ascii="仿宋" w:hAnsi="仿宋" w:eastAsia="仿宋"/>
          <w:b/>
          <w:bCs/>
          <w:sz w:val="32"/>
          <w:szCs w:val="32"/>
          <w:u w:val="single"/>
        </w:rPr>
        <w:t>年</w:t>
      </w:r>
      <w:r>
        <w:rPr>
          <w:rFonts w:ascii="仿宋" w:hAnsi="仿宋" w:eastAsia="仿宋"/>
          <w:b/>
          <w:bCs/>
          <w:sz w:val="32"/>
          <w:szCs w:val="32"/>
          <w:u w:val="single"/>
        </w:rPr>
        <w:t>1</w:t>
      </w:r>
      <w:r>
        <w:rPr>
          <w:rFonts w:hint="eastAsia" w:ascii="仿宋" w:hAnsi="仿宋" w:eastAsia="仿宋"/>
          <w:b/>
          <w:bCs/>
          <w:sz w:val="32"/>
          <w:szCs w:val="32"/>
          <w:u w:val="single"/>
        </w:rPr>
        <w:t>月</w:t>
      </w:r>
      <w:r>
        <w:rPr>
          <w:rFonts w:ascii="仿宋" w:hAnsi="仿宋" w:eastAsia="仿宋"/>
          <w:b/>
          <w:bCs/>
          <w:sz w:val="32"/>
          <w:szCs w:val="32"/>
          <w:u w:val="single"/>
        </w:rPr>
        <w:t>4</w:t>
      </w:r>
      <w:r>
        <w:rPr>
          <w:rFonts w:hint="eastAsia" w:ascii="仿宋" w:hAnsi="仿宋" w:eastAsia="仿宋"/>
          <w:b/>
          <w:bCs/>
          <w:sz w:val="32"/>
          <w:szCs w:val="32"/>
          <w:u w:val="single"/>
        </w:rPr>
        <w:t>日。</w:t>
      </w:r>
      <w:r>
        <w:rPr>
          <w:rFonts w:hint="eastAsia" w:ascii="仿宋" w:hAnsi="仿宋" w:eastAsia="仿宋"/>
          <w:sz w:val="32"/>
          <w:szCs w:val="32"/>
        </w:rPr>
        <w:t>债权人申报利息债权的应提供本金、利率、计息期的计算公式。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4、《债权申报通知书》的送达不构成管理人对无效债权的重新确认，也不产生债权诉讼时效中止、中断或延长等法律后果。</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5、所有申报债权材料均应为</w:t>
      </w:r>
      <w:r>
        <w:rPr>
          <w:rFonts w:hint="eastAsia" w:ascii="仿宋" w:hAnsi="仿宋" w:eastAsia="仿宋"/>
          <w:b/>
          <w:sz w:val="32"/>
          <w:szCs w:val="32"/>
          <w:u w:val="single"/>
        </w:rPr>
        <w:t>A4纸打印版,一式一份</w:t>
      </w:r>
      <w:r>
        <w:rPr>
          <w:rFonts w:hint="eastAsia" w:ascii="仿宋" w:hAnsi="仿宋" w:eastAsia="仿宋"/>
          <w:sz w:val="32"/>
          <w:szCs w:val="32"/>
        </w:rPr>
        <w:t>。《债权申报文件清单》《非/购房债权申报表》</w:t>
      </w:r>
      <w:bookmarkStart w:id="0" w:name="_Hlk142422476"/>
      <w:r>
        <w:rPr>
          <w:rFonts w:hint="eastAsia" w:ascii="仿宋" w:hAnsi="仿宋" w:eastAsia="仿宋"/>
          <w:sz w:val="32"/>
          <w:szCs w:val="32"/>
        </w:rPr>
        <w:t>《申报人地址及联系方式确认书》</w:t>
      </w:r>
      <w:bookmarkEnd w:id="0"/>
      <w:r>
        <w:rPr>
          <w:rFonts w:hint="eastAsia" w:ascii="仿宋" w:hAnsi="仿宋" w:eastAsia="仿宋"/>
          <w:sz w:val="32"/>
          <w:szCs w:val="32"/>
        </w:rPr>
        <w:t>及《授权委托书》等为原件，由申报人签名并按捺手印或加盖公章，相关证据材料可提交复印件</w:t>
      </w:r>
      <w:r>
        <w:rPr>
          <w:rFonts w:hint="eastAsia" w:ascii="仿宋" w:hAnsi="仿宋" w:eastAsia="仿宋"/>
          <w:sz w:val="32"/>
          <w:szCs w:val="32"/>
          <w:u w:val="single"/>
        </w:rPr>
        <w:t>（</w:t>
      </w:r>
      <w:r>
        <w:rPr>
          <w:rFonts w:hint="eastAsia" w:ascii="仿宋" w:hAnsi="仿宋" w:eastAsia="仿宋"/>
          <w:b/>
          <w:sz w:val="32"/>
          <w:szCs w:val="32"/>
          <w:u w:val="single"/>
        </w:rPr>
        <w:t>统一用A4纸复印</w:t>
      </w:r>
      <w:r>
        <w:rPr>
          <w:rFonts w:hint="eastAsia" w:ascii="仿宋" w:hAnsi="仿宋" w:eastAsia="仿宋"/>
          <w:sz w:val="32"/>
          <w:szCs w:val="32"/>
          <w:u w:val="single"/>
        </w:rPr>
        <w:t>）</w:t>
      </w:r>
      <w:r>
        <w:rPr>
          <w:rFonts w:hint="eastAsia" w:ascii="仿宋" w:hAnsi="仿宋" w:eastAsia="仿宋"/>
          <w:sz w:val="32"/>
          <w:szCs w:val="32"/>
        </w:rPr>
        <w:t>，管理人在审核债权时如需现场核对证据原件的，应按管理人的要求在指定期限内携带原件前往管理人处现场进行核对，否则所申报的债权管理人不予确认。</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pPr>
        <w:spacing w:line="440" w:lineRule="exact"/>
        <w:ind w:firstLine="640" w:firstLineChars="200"/>
        <w:rPr>
          <w:rFonts w:ascii="仿宋" w:hAnsi="仿宋" w:eastAsia="仿宋"/>
          <w:b/>
          <w:bCs/>
          <w:sz w:val="32"/>
          <w:szCs w:val="32"/>
        </w:rPr>
      </w:pPr>
      <w:r>
        <w:rPr>
          <w:rFonts w:hint="eastAsia" w:ascii="仿宋" w:hAnsi="仿宋" w:eastAsia="仿宋"/>
          <w:sz w:val="32"/>
          <w:szCs w:val="32"/>
        </w:rPr>
        <w:t>7、</w:t>
      </w:r>
      <w:r>
        <w:rPr>
          <w:rFonts w:hint="eastAsia" w:ascii="仿宋" w:hAnsi="仿宋" w:eastAsia="仿宋"/>
          <w:b/>
          <w:bCs/>
          <w:sz w:val="32"/>
          <w:szCs w:val="32"/>
          <w:u w:val="single"/>
        </w:rPr>
        <w:t>申报材料可通过山东利得清算事务有限公司网站（http://www.lideqingsuan.com/）右上角“破产公告”栏获取，申报材料文本格式应统一、正规。</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8、采取现场及邮寄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pPr>
        <w:spacing w:line="440" w:lineRule="exact"/>
        <w:ind w:firstLine="640" w:firstLineChars="200"/>
        <w:rPr>
          <w:rFonts w:ascii="仿宋" w:hAnsi="仿宋" w:eastAsia="仿宋"/>
          <w:sz w:val="32"/>
          <w:szCs w:val="32"/>
          <w:u w:val="single"/>
        </w:rPr>
      </w:pPr>
      <w:r>
        <w:rPr>
          <w:rFonts w:hint="eastAsia" w:ascii="仿宋" w:hAnsi="仿宋" w:eastAsia="仿宋"/>
          <w:sz w:val="32"/>
          <w:szCs w:val="32"/>
        </w:rPr>
        <w:t>9、如申报人未按照债权申报须知的各项要求填写、提交债权申报文件，导致债权人申报的债权无法经管理人审核确认，由此产生的法律后果由申报人自行承担。</w:t>
      </w:r>
      <w:r>
        <w:rPr>
          <w:rFonts w:hint="eastAsia" w:ascii="仿宋" w:hAnsi="仿宋" w:eastAsia="仿宋"/>
          <w:b/>
          <w:bCs/>
          <w:sz w:val="32"/>
          <w:szCs w:val="32"/>
          <w:u w:val="single"/>
        </w:rPr>
        <w:t>申报人如提供伪造、变造等虚假证据及相关材料，以及对重要事实拒绝陈述或作虚假陈述的，将承担相应的</w:t>
      </w:r>
      <w:r>
        <w:fldChar w:fldCharType="begin"/>
      </w:r>
      <w:r>
        <w:instrText xml:space="preserve"> HYPERLINK "http://www.lawtime.cn/info/laodonghetongfa/falvzeren/" \t "_blank" </w:instrText>
      </w:r>
      <w:r>
        <w:fldChar w:fldCharType="separate"/>
      </w:r>
      <w:r>
        <w:rPr>
          <w:rFonts w:hint="eastAsia" w:ascii="仿宋" w:hAnsi="仿宋" w:eastAsia="仿宋"/>
          <w:b/>
          <w:bCs/>
          <w:sz w:val="32"/>
          <w:szCs w:val="32"/>
          <w:u w:val="single"/>
        </w:rPr>
        <w:t>法律责任</w:t>
      </w:r>
      <w:r>
        <w:rPr>
          <w:rFonts w:hint="eastAsia" w:ascii="仿宋" w:hAnsi="仿宋" w:eastAsia="仿宋"/>
          <w:b/>
          <w:bCs/>
          <w:sz w:val="32"/>
          <w:szCs w:val="32"/>
          <w:u w:val="single"/>
        </w:rPr>
        <w:fldChar w:fldCharType="end"/>
      </w:r>
      <w:r>
        <w:rPr>
          <w:rFonts w:hint="eastAsia" w:ascii="仿宋" w:hAnsi="仿宋" w:eastAsia="仿宋"/>
          <w:b/>
          <w:bCs/>
          <w:sz w:val="32"/>
          <w:szCs w:val="32"/>
          <w:u w:val="single"/>
        </w:rPr>
        <w:t>，情节严重构成犯罪的，将移交司法机关依法处理。</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10、管理人或者债务人依照《企业破产法》规定解除合同的，对方当事人以因合同解除所产生的损害赔偿请求权申报债权。取回权申请事宜参照本须知执行。</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五、申报程序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1、申报人按本须知的要求下载并填写相关材料，并向管理人工作人员提交申报材料；</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2、管理人工作人员审查申报人的身份以及申报材料是否合规，不合规的要求申报人补充；</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3、针对符合申报要求的申报材料，管理人受理申报并登记造册。</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六、债权申报地址和联系方式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地址：沧州市新华区千童北大道9号（沧州市新华区华兴太阳城售楼处）。</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联系人：王律师  联系电话：</w:t>
      </w:r>
      <w:r>
        <w:rPr>
          <w:rFonts w:ascii="仿宋" w:hAnsi="仿宋" w:eastAsia="仿宋"/>
          <w:sz w:val="32"/>
          <w:szCs w:val="32"/>
        </w:rPr>
        <w:t>16630703936</w:t>
      </w:r>
      <w:r>
        <w:rPr>
          <w:rFonts w:hint="eastAsia" w:ascii="仿宋" w:hAnsi="仿宋" w:eastAsia="仿宋"/>
          <w:sz w:val="32"/>
          <w:szCs w:val="32"/>
        </w:rPr>
        <w:t>（微信同号）。</w:t>
      </w:r>
    </w:p>
    <w:p>
      <w:pPr>
        <w:spacing w:line="480" w:lineRule="exact"/>
        <w:ind w:firstLine="640" w:firstLineChars="200"/>
        <w:rPr>
          <w:rFonts w:ascii="仿宋" w:hAnsi="仿宋" w:eastAsia="仿宋"/>
          <w:sz w:val="24"/>
          <w:szCs w:val="24"/>
        </w:rPr>
      </w:pPr>
      <w:r>
        <w:rPr>
          <w:rFonts w:hint="eastAsia" w:ascii="仿宋" w:hAnsi="仿宋" w:eastAsia="仿宋"/>
          <w:sz w:val="32"/>
          <w:szCs w:val="32"/>
        </w:rPr>
        <w:t>管理人微信二维码：</w:t>
      </w:r>
      <w:r>
        <w:rPr>
          <w:rFonts w:hint="eastAsia" w:ascii="仿宋" w:hAnsi="仿宋" w:eastAsia="仿宋"/>
          <w:sz w:val="24"/>
          <w:szCs w:val="24"/>
        </w:rPr>
        <w:t>（添加微信请备注：华兴债权人—公司名称或个人姓名)。</w:t>
      </w:r>
    </w:p>
    <w:p>
      <w:pPr>
        <w:ind w:firstLine="480" w:firstLineChars="200"/>
        <w:rPr>
          <w:rFonts w:ascii="仿宋" w:hAnsi="仿宋" w:eastAsia="仿宋"/>
          <w:sz w:val="24"/>
          <w:szCs w:val="24"/>
        </w:rPr>
      </w:pPr>
    </w:p>
    <w:p>
      <w:pPr>
        <w:ind w:firstLine="640" w:firstLineChars="200"/>
        <w:jc w:val="center"/>
        <w:rPr>
          <w:rFonts w:ascii="仿宋" w:hAnsi="仿宋" w:eastAsia="仿宋"/>
          <w:sz w:val="32"/>
          <w:szCs w:val="32"/>
        </w:rPr>
      </w:pPr>
      <w:r>
        <w:rPr>
          <w:rFonts w:ascii="仿宋" w:hAnsi="仿宋" w:eastAsia="仿宋"/>
          <w:sz w:val="32"/>
          <w:szCs w:val="32"/>
        </w:rPr>
        <w:pict>
          <v:shape id="_x0000_i1025" o:spt="75" type="#_x0000_t75" style="height:153.7pt;width:190.95pt;" filled="f" o:preferrelative="t" stroked="f" coordsize="21600,21600">
            <v:path/>
            <v:fill on="f" focussize="0,0"/>
            <v:stroke on="f" joinstyle="miter"/>
            <v:imagedata r:id="rId6" o:title="破产管理人微信"/>
            <o:lock v:ext="edit" aspectratio="t"/>
            <w10:wrap type="none"/>
            <w10:anchorlock/>
          </v:shape>
        </w:pict>
      </w:r>
    </w:p>
    <w:p>
      <w:pPr>
        <w:ind w:firstLine="640" w:firstLineChars="200"/>
        <w:jc w:val="center"/>
        <w:rPr>
          <w:rFonts w:ascii="仿宋" w:hAnsi="仿宋" w:eastAsia="仿宋"/>
          <w:sz w:val="32"/>
          <w:szCs w:val="32"/>
        </w:rPr>
      </w:pPr>
    </w:p>
    <w:p>
      <w:pPr>
        <w:spacing w:line="480" w:lineRule="exact"/>
        <w:ind w:firstLine="640" w:firstLineChars="200"/>
        <w:rPr>
          <w:rFonts w:ascii="仿宋" w:hAnsi="仿宋" w:eastAsia="仿宋"/>
          <w:sz w:val="32"/>
          <w:szCs w:val="32"/>
        </w:rPr>
      </w:pPr>
      <w:r>
        <w:rPr>
          <w:rFonts w:hint="eastAsia" w:ascii="仿宋" w:hAnsi="仿宋" w:eastAsia="仿宋"/>
          <w:sz w:val="32"/>
          <w:szCs w:val="32"/>
        </w:rPr>
        <w:t xml:space="preserve">本须知未列明事项，按照《中华人民共和国企业破产法》等法律法规和司法解释执行。                                 </w:t>
      </w:r>
    </w:p>
    <w:p>
      <w:pPr>
        <w:spacing w:line="480" w:lineRule="exact"/>
        <w:jc w:val="right"/>
        <w:rPr>
          <w:rFonts w:ascii="仿宋" w:hAnsi="仿宋" w:eastAsia="仿宋"/>
          <w:sz w:val="32"/>
          <w:szCs w:val="32"/>
        </w:rPr>
      </w:pPr>
      <w:r>
        <w:rPr>
          <w:rFonts w:hint="eastAsia" w:ascii="仿宋" w:hAnsi="仿宋" w:eastAsia="仿宋"/>
          <w:sz w:val="32"/>
          <w:szCs w:val="32"/>
        </w:rPr>
        <w:t>沧州市华兴置业房地产开发有限公司管理人</w:t>
      </w:r>
    </w:p>
    <w:p>
      <w:pPr>
        <w:spacing w:line="480" w:lineRule="exact"/>
        <w:jc w:val="right"/>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月9日</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r>
      <w:fldChar w:fldCharType="begin"/>
    </w:r>
    <w:r>
      <w:instrText xml:space="preserve"> PAGE  </w:instrText>
    </w:r>
    <w:r>
      <w:fldChar w:fldCharType="separate"/>
    </w:r>
    <w: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lMmNkZWZiMWY4ZDc1M2RiYjhhOGU2NWYxNjdmYjgifQ=="/>
  </w:docVars>
  <w:rsids>
    <w:rsidRoot w:val="00172A27"/>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414273C8"/>
    <w:rsid w:val="4346114E"/>
    <w:rsid w:val="44BF5900"/>
    <w:rsid w:val="45677249"/>
    <w:rsid w:val="477261B8"/>
    <w:rsid w:val="4A263138"/>
    <w:rsid w:val="4AC159C8"/>
    <w:rsid w:val="4CAD45A4"/>
    <w:rsid w:val="4CF94223"/>
    <w:rsid w:val="4F415B0B"/>
    <w:rsid w:val="55CD5C0D"/>
    <w:rsid w:val="55DE4F34"/>
    <w:rsid w:val="56751C38"/>
    <w:rsid w:val="593555F6"/>
    <w:rsid w:val="59670E54"/>
    <w:rsid w:val="5C4C6612"/>
    <w:rsid w:val="5D075C97"/>
    <w:rsid w:val="63B86060"/>
    <w:rsid w:val="756E4981"/>
    <w:rsid w:val="783616FF"/>
    <w:rsid w:val="790000D8"/>
    <w:rsid w:val="7EE8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spacing w:line="480" w:lineRule="exact"/>
      <w:ind w:firstLine="461" w:firstLineChars="192"/>
      <w:jc w:val="left"/>
    </w:pPr>
    <w:rPr>
      <w:rFonts w:ascii="宋体" w:hAnsi="宋体"/>
      <w:sz w:val="24"/>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00" w:beforeAutospacing="1" w:after="100" w:afterAutospacing="1"/>
      <w:jc w:val="left"/>
    </w:pPr>
    <w:rPr>
      <w:rFonts w:ascii="宋体" w:hAnsi="宋体"/>
      <w:kern w:val="0"/>
      <w:sz w:val="24"/>
    </w:rPr>
  </w:style>
  <w:style w:type="character" w:styleId="9">
    <w:name w:val="Strong"/>
    <w:qFormat/>
    <w:uiPriority w:val="0"/>
    <w:rPr>
      <w:b/>
    </w:rPr>
  </w:style>
  <w:style w:type="character" w:styleId="10">
    <w:name w:val="page number"/>
    <w:basedOn w:val="8"/>
    <w:qFormat/>
    <w:uiPriority w:val="0"/>
  </w:style>
  <w:style w:type="character" w:styleId="11">
    <w:name w:val="Hyperlink"/>
    <w:qFormat/>
    <w:uiPriority w:val="0"/>
    <w:rPr>
      <w:color w:val="0563C1"/>
      <w:u w:val="single"/>
    </w:rPr>
  </w:style>
  <w:style w:type="character" w:customStyle="1" w:styleId="12">
    <w:name w:val="_Style 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466</Words>
  <Characters>2662</Characters>
  <Lines>22</Lines>
  <Paragraphs>6</Paragraphs>
  <TotalTime>64</TotalTime>
  <ScaleCrop>false</ScaleCrop>
  <LinksUpToDate>false</LinksUpToDate>
  <CharactersWithSpaces>3122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2018-10-24T04:36:00Z</dcterms:created>
  <dc:creator>ibm</dc:creator>
  <cp:lastModifiedBy>孙建生</cp:lastModifiedBy>
  <cp:lastPrinted>2023-08-09T02:38:00Z</cp:lastPrinted>
  <dcterms:modified xsi:type="dcterms:W3CDTF">2023-08-09T08:07:46Z</dcterms:modified>
  <dc:title>债权申报须知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019EF1B017EF4CB4ABAA1EF59B3C1973_13</vt:lpwstr>
  </property>
</Properties>
</file>